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heme="majorEastAsia" w:hAnsiTheme="majorEastAsia" w:eastAsiaTheme="majorEastAsia"/>
          <w:b/>
          <w:sz w:val="36"/>
          <w:szCs w:val="36"/>
        </w:rPr>
      </w:pPr>
      <w:bookmarkStart w:id="1" w:name="_GoBack"/>
      <w:r>
        <w:rPr>
          <w:rFonts w:hint="eastAsia" w:asciiTheme="majorEastAsia" w:hAnsiTheme="majorEastAsia" w:eastAsiaTheme="majorEastAsia"/>
          <w:b/>
          <w:sz w:val="36"/>
          <w:szCs w:val="36"/>
        </w:rPr>
        <w:t>内蒙古工业大学混合式教学示范课程建设管理办法</w:t>
      </w:r>
    </w:p>
    <w:bookmarkEnd w:id="1"/>
    <w:p>
      <w:pPr>
        <w:pStyle w:val="5"/>
        <w:spacing w:before="0" w:beforeAutospacing="0" w:after="0" w:afterAutospacing="0" w:line="560" w:lineRule="exact"/>
        <w:ind w:firstLine="602" w:firstLineChars="200"/>
        <w:rPr>
          <w:rFonts w:ascii="仿宋_GB2312" w:eastAsia="仿宋_GB2312"/>
          <w:b/>
          <w:sz w:val="30"/>
          <w:szCs w:val="30"/>
        </w:rPr>
      </w:pPr>
    </w:p>
    <w:p>
      <w:pPr>
        <w:pStyle w:val="5"/>
        <w:spacing w:before="0" w:beforeAutospacing="0" w:after="0" w:afterAutospacing="0" w:line="560" w:lineRule="exact"/>
        <w:ind w:firstLine="600" w:firstLineChars="200"/>
        <w:rPr>
          <w:rFonts w:ascii="黑体" w:hAnsi="黑体" w:eastAsia="黑体"/>
          <w:sz w:val="30"/>
          <w:szCs w:val="30"/>
        </w:rPr>
      </w:pPr>
      <w:r>
        <w:rPr>
          <w:rFonts w:hint="eastAsia" w:ascii="黑体" w:hAnsi="黑体" w:eastAsia="黑体"/>
          <w:sz w:val="30"/>
          <w:szCs w:val="30"/>
        </w:rPr>
        <w:t>一、总则</w:t>
      </w:r>
    </w:p>
    <w:p>
      <w:pPr>
        <w:pStyle w:val="5"/>
        <w:spacing w:before="0" w:beforeAutospacing="0" w:after="0" w:afterAutospacing="0" w:line="560" w:lineRule="exact"/>
        <w:ind w:firstLine="600" w:firstLineChars="200"/>
        <w:rPr>
          <w:rFonts w:ascii="仿宋_GB2312" w:eastAsia="仿宋_GB2312"/>
          <w:sz w:val="30"/>
          <w:szCs w:val="30"/>
        </w:rPr>
      </w:pPr>
      <w:r>
        <w:rPr>
          <w:rFonts w:hint="eastAsia" w:ascii="仿宋_GB2312" w:eastAsia="仿宋_GB2312"/>
          <w:sz w:val="30"/>
          <w:szCs w:val="30"/>
        </w:rPr>
        <w:t>为更新教育教学理念，主动适应学生个性化发展需求，鼓励教师充分利用在线教学优势，强化课堂互动，创新教育教学模式改革，保证混合式教学示范课程建设的顺利开展，特制定本办法。</w:t>
      </w:r>
    </w:p>
    <w:p>
      <w:pPr>
        <w:pStyle w:val="5"/>
        <w:spacing w:before="0" w:beforeAutospacing="0" w:after="0" w:afterAutospacing="0" w:line="560" w:lineRule="exact"/>
        <w:ind w:firstLine="600" w:firstLineChars="200"/>
        <w:rPr>
          <w:rFonts w:ascii="黑体" w:hAnsi="黑体" w:eastAsia="黑体"/>
          <w:sz w:val="30"/>
          <w:szCs w:val="30"/>
        </w:rPr>
      </w:pPr>
      <w:r>
        <w:rPr>
          <w:rFonts w:hint="eastAsia" w:ascii="黑体" w:hAnsi="黑体" w:eastAsia="黑体"/>
          <w:sz w:val="30"/>
          <w:szCs w:val="30"/>
        </w:rPr>
        <w:t>二、建设目标及任务</w:t>
      </w:r>
    </w:p>
    <w:p>
      <w:pPr>
        <w:pStyle w:val="5"/>
        <w:spacing w:before="0" w:beforeAutospacing="0" w:after="0" w:afterAutospacing="0" w:line="560" w:lineRule="exact"/>
        <w:ind w:firstLine="600" w:firstLineChars="200"/>
        <w:rPr>
          <w:rFonts w:ascii="仿宋_GB2312" w:eastAsia="仿宋_GB2312"/>
          <w:sz w:val="30"/>
          <w:szCs w:val="30"/>
        </w:rPr>
      </w:pPr>
      <w:r>
        <w:rPr>
          <w:rFonts w:hint="eastAsia" w:ascii="仿宋_GB2312" w:eastAsia="仿宋_GB2312"/>
          <w:sz w:val="30"/>
          <w:szCs w:val="30"/>
        </w:rPr>
        <w:t>（一）将信息化教学改革作为课程教学模式改革的推进方式之一，以混合式教学示范课程建设为载体，以信息化教学平台为依托，充分利用网络信息技术优势，推动信息技术与教育教学深度融合。</w:t>
      </w:r>
    </w:p>
    <w:p>
      <w:pPr>
        <w:pStyle w:val="5"/>
        <w:spacing w:before="0" w:beforeAutospacing="0" w:after="0" w:afterAutospacing="0" w:line="560" w:lineRule="exact"/>
        <w:ind w:firstLine="600" w:firstLineChars="200"/>
        <w:rPr>
          <w:rFonts w:ascii="仿宋_GB2312" w:eastAsia="仿宋_GB2312"/>
          <w:sz w:val="30"/>
          <w:szCs w:val="30"/>
        </w:rPr>
      </w:pPr>
      <w:r>
        <w:rPr>
          <w:rFonts w:hint="eastAsia" w:ascii="仿宋_GB2312" w:eastAsia="仿宋_GB2312"/>
          <w:sz w:val="30"/>
          <w:szCs w:val="30"/>
        </w:rPr>
        <w:t>（二）按照“统筹规划、示范引领、以点及面、逐步推进”的原则，以满足校内教学需求为前提和基础，支持和鼓励教师积极探索互联网技术支持下的、具有特色的线上线下混合式教学模式改革，鼓励优质教学资源数字化、可视化、网络化，强化课堂互动，提高课堂效率。</w:t>
      </w:r>
    </w:p>
    <w:p>
      <w:pPr>
        <w:pStyle w:val="5"/>
        <w:spacing w:before="0" w:beforeAutospacing="0" w:after="0" w:afterAutospacing="0" w:line="560" w:lineRule="exact"/>
        <w:ind w:firstLine="600" w:firstLineChars="200"/>
        <w:rPr>
          <w:rFonts w:ascii="仿宋_GB2312" w:eastAsia="仿宋_GB2312"/>
          <w:sz w:val="30"/>
          <w:szCs w:val="30"/>
        </w:rPr>
      </w:pPr>
      <w:r>
        <w:rPr>
          <w:rFonts w:hint="eastAsia" w:ascii="仿宋_GB2312" w:eastAsia="仿宋_GB2312"/>
          <w:sz w:val="30"/>
          <w:szCs w:val="30"/>
        </w:rPr>
        <w:t>（三）通过混合式教学示范课程的建设，提高知识传授和知识内化的质量与效率，提升教师的课程设计和教学引导能力，推动课程基于网络的形成性评价和终结性评价等评价方式的有机结合，同时加强基于网络平台和信息技术的学生学习分析研究。</w:t>
      </w:r>
    </w:p>
    <w:p>
      <w:pPr>
        <w:pStyle w:val="5"/>
        <w:spacing w:before="0" w:beforeAutospacing="0" w:after="0" w:afterAutospacing="0" w:line="560" w:lineRule="exact"/>
        <w:ind w:firstLine="600" w:firstLineChars="200"/>
        <w:rPr>
          <w:rFonts w:ascii="仿宋_GB2312" w:eastAsia="仿宋_GB2312"/>
          <w:sz w:val="30"/>
          <w:szCs w:val="30"/>
        </w:rPr>
      </w:pPr>
      <w:r>
        <w:rPr>
          <w:rFonts w:hint="eastAsia" w:ascii="仿宋_GB2312" w:eastAsia="仿宋_GB2312"/>
          <w:sz w:val="30"/>
          <w:szCs w:val="30"/>
        </w:rPr>
        <w:t>（四）坚持“以学生为本”的教学理念，注重教学方式和学习方式的转变，充分调动学生学习的积极性和主动性，最大限度地发挥学生的潜能，培养学生基于互联网的自主学习能力、独立思考能力和创新意识，不断提高课程教学质量，提升人才培养质量。</w:t>
      </w:r>
    </w:p>
    <w:p>
      <w:pPr>
        <w:pStyle w:val="5"/>
        <w:spacing w:before="0" w:beforeAutospacing="0" w:after="0" w:afterAutospacing="0" w:line="560" w:lineRule="exact"/>
        <w:ind w:firstLine="600" w:firstLineChars="200"/>
        <w:rPr>
          <w:rFonts w:ascii="仿宋_GB2312" w:eastAsia="仿宋_GB2312"/>
          <w:sz w:val="30"/>
          <w:szCs w:val="30"/>
        </w:rPr>
      </w:pPr>
      <w:r>
        <w:rPr>
          <w:rFonts w:hint="eastAsia" w:ascii="仿宋_GB2312" w:eastAsia="仿宋_GB2312"/>
          <w:sz w:val="30"/>
          <w:szCs w:val="30"/>
        </w:rPr>
        <w:t>（五）通过混合式教学示范课程建设，形成一支结构合理、人员稳定、教学水平高、教学效果好、资源设计和制作能力强的优秀课程教学团队。</w:t>
      </w:r>
    </w:p>
    <w:p>
      <w:pPr>
        <w:pStyle w:val="5"/>
        <w:spacing w:before="0" w:beforeAutospacing="0" w:after="0" w:afterAutospacing="0" w:line="560" w:lineRule="exact"/>
        <w:ind w:firstLine="600" w:firstLineChars="200"/>
        <w:rPr>
          <w:rFonts w:ascii="黑体" w:hAnsi="黑体" w:eastAsia="黑体"/>
          <w:sz w:val="30"/>
          <w:szCs w:val="30"/>
        </w:rPr>
      </w:pPr>
      <w:r>
        <w:rPr>
          <w:rFonts w:hint="eastAsia" w:ascii="黑体" w:hAnsi="黑体" w:eastAsia="黑体"/>
          <w:sz w:val="30"/>
          <w:szCs w:val="30"/>
        </w:rPr>
        <w:t>三、建设要求</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混合式教学示范课程是采用混合式教学模式授课的课程。混合式教学模式是将线上学习与线下教学相结合，将传统教学方式的优势和网络在线教学优势相结合，既发挥教师引导、启发、监控教学过程的主导作用，又充分体现学生作为学习过程主体的主动性、积极性和创造性的教学模式。</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（一）混合式教学示范课程应改变知识传授的传统模式，采用课前视频学习、课堂讨论学习与课后反思学习相结合的混合式教学模式。</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混合式教学示范课程需建设知识点化的教学视频，并采用慕课（MOOC）、私播课（SPOC）、微课等适合在线式或碎片化学习的形式制作，避免使用单一、传统的课堂实录视频。教学视频可以是自行录制的，也可以是学校认可的第三方慕课平台上的视频资源，但不应存在版权问题。</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（三）混合式教学示范课程须在内蒙古工业大学网络教学平台上开展线上、线下教学活动，并进行教学资源建设。</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（四）在保证课程教学目标的前提下，混合式教学示范课程可进行个性化的课程教学设计，包括线上与线下教学学时分配、教学方式、考核标准和方式等。</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（五）</w:t>
      </w:r>
      <w:bookmarkStart w:id="0" w:name="OLE_LINK1"/>
      <w:r>
        <w:rPr>
          <w:rFonts w:hint="eastAsia" w:ascii="仿宋_GB2312" w:eastAsia="仿宋_GB2312"/>
          <w:sz w:val="30"/>
          <w:szCs w:val="30"/>
        </w:rPr>
        <w:t>混合式教学示范课程应加强教学团队建设，教学团队应结合探究式、项目式和合作式等教学组织形式开展教学活动和教学研究。</w:t>
      </w:r>
      <w:bookmarkEnd w:id="0"/>
    </w:p>
    <w:p>
      <w:pPr>
        <w:spacing w:line="560" w:lineRule="exact"/>
        <w:ind w:firstLine="600" w:firstLineChars="200"/>
        <w:rPr>
          <w:rFonts w:ascii="仿宋_GB2312" w:eastAsia="仿宋_GB2312"/>
          <w:sz w:val="30"/>
          <w:szCs w:val="30"/>
        </w:rPr>
      </w:pPr>
      <w:r>
        <w:rPr>
          <w:rFonts w:hint="eastAsia" w:ascii="仿宋_GB2312" w:eastAsia="仿宋_GB2312"/>
          <w:sz w:val="30"/>
          <w:szCs w:val="30"/>
        </w:rPr>
        <w:t>（六）严格遵守国家网络与信息安全管理规范，依法依规开展教学活动，实施对课程内容、讨论内容、学习过程内容的有效监管，防范和及时制止网络有害信息的传播。重视版权和知识产权问题，构建课程内容所使用的图片、音视频等素材应注明出处。</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四、申报立项</w:t>
      </w:r>
    </w:p>
    <w:p>
      <w:pPr>
        <w:spacing w:line="560" w:lineRule="exact"/>
        <w:ind w:firstLine="600" w:firstLineChars="200"/>
        <w:rPr>
          <w:rFonts w:ascii="楷体_GB2312" w:eastAsia="楷体_GB2312"/>
          <w:sz w:val="30"/>
          <w:szCs w:val="30"/>
        </w:rPr>
      </w:pPr>
      <w:r>
        <w:rPr>
          <w:rFonts w:hint="eastAsia" w:ascii="楷体_GB2312" w:eastAsia="楷体_GB2312"/>
          <w:sz w:val="30"/>
          <w:szCs w:val="30"/>
        </w:rPr>
        <w:t>（一）申报时间</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混合式教学示范课程建设立项工作，原则上每年组织一次。各学院可自行组织院级混合式教学课程建设。</w:t>
      </w:r>
    </w:p>
    <w:p>
      <w:pPr>
        <w:spacing w:line="560" w:lineRule="exact"/>
        <w:ind w:firstLine="600" w:firstLineChars="200"/>
        <w:rPr>
          <w:rFonts w:ascii="楷体_GB2312" w:eastAsia="楷体_GB2312"/>
          <w:sz w:val="30"/>
          <w:szCs w:val="30"/>
        </w:rPr>
      </w:pPr>
      <w:r>
        <w:rPr>
          <w:rFonts w:hint="eastAsia" w:ascii="楷体_GB2312" w:eastAsia="楷体_GB2312"/>
          <w:sz w:val="30"/>
          <w:szCs w:val="30"/>
        </w:rPr>
        <w:t>（二）申报条件</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1．申报课程应是列入培养方案的、已连续开设三年以上的课程。</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2.申报课程适合采用混合式教学模式，具有一定的教学改革与研究基础。</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3.申报课程负责人应为我校在职教师，具有丰富的教学经验，原则上应有至少3年以上的本科教学经验，并承担申报课程的主讲教学工作不少于2年。课程教学团队结构合理，教学水平高。</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4.每位教师最多可主持1门混合式教学课程建设项目。</w:t>
      </w:r>
    </w:p>
    <w:p>
      <w:pPr>
        <w:spacing w:line="560" w:lineRule="exact"/>
        <w:ind w:firstLine="600" w:firstLineChars="200"/>
        <w:rPr>
          <w:rFonts w:ascii="楷体_GB2312" w:eastAsia="楷体_GB2312"/>
          <w:sz w:val="30"/>
          <w:szCs w:val="30"/>
        </w:rPr>
      </w:pPr>
      <w:r>
        <w:rPr>
          <w:rFonts w:hint="eastAsia" w:ascii="楷体_GB2312" w:eastAsia="楷体_GB2312"/>
          <w:sz w:val="30"/>
          <w:szCs w:val="30"/>
        </w:rPr>
        <w:t>（三）评审立项</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1.课程负责人填写《内蒙古工业大学混合式教学示范课程建设项目申请表》，报送所在学院。学院对申报材料进行审核，组织论证并签署意见后统一报送教务处。 </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2.教务处对申报材料进行形式审查。</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3.学校教学工作委员会负责校级混合式教学示范课程立项的评审，通过评审的项目，由学校发文公布，予以立项。</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五、建设管理</w:t>
      </w:r>
    </w:p>
    <w:p>
      <w:pPr>
        <w:spacing w:line="560" w:lineRule="exact"/>
        <w:ind w:firstLine="600" w:firstLineChars="200"/>
        <w:rPr>
          <w:rFonts w:ascii="楷体_GB2312" w:eastAsia="楷体_GB2312"/>
          <w:sz w:val="30"/>
          <w:szCs w:val="30"/>
        </w:rPr>
      </w:pPr>
      <w:r>
        <w:rPr>
          <w:rFonts w:hint="eastAsia" w:ascii="楷体_GB2312" w:eastAsia="楷体_GB2312"/>
          <w:sz w:val="30"/>
          <w:szCs w:val="30"/>
        </w:rPr>
        <w:t>（一）日常管理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混合式教学示范课程立项项目实行课程负责人制度，课程负责人负责组织实施课程建设与研究工作以及建设经费的合理使用。课程所在学院负责对混合式教学示范课程建设的规划和质量把关。学校负责建设过程中的宏观协调，并组织阶段性检查和质量等级鉴定工作。</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2.混合式教学示范课程立项项目实行中期检查制度。每学年教务处组织一次课程建设进展情况检查，对无明显进展的项目，酌情减拨或停拨后续经费，直至撤销立项。</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3.立项项目在实施阶段需更换负责人或调整方案，须由课程负责人或课程所在学院提出申请，报学校教学工作委员会审批。</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4.立项项目所在学院应给予适当的经费匹配以及人员配备、研究条件等方面的支持。</w:t>
      </w:r>
    </w:p>
    <w:p>
      <w:pPr>
        <w:spacing w:line="560" w:lineRule="exact"/>
        <w:ind w:firstLine="600" w:firstLineChars="200"/>
        <w:rPr>
          <w:rFonts w:ascii="楷体_GB2312" w:eastAsia="楷体_GB2312"/>
          <w:sz w:val="30"/>
          <w:szCs w:val="30"/>
        </w:rPr>
      </w:pPr>
      <w:r>
        <w:rPr>
          <w:rFonts w:hint="eastAsia" w:ascii="楷体_GB2312" w:eastAsia="楷体_GB2312"/>
          <w:sz w:val="30"/>
          <w:szCs w:val="30"/>
        </w:rPr>
        <w:t>（二）建设周期</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混合式教学示范课程的建设周期一般为两年。</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六、鉴定验收</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（一）混合式教学示范课程项目建设期满，且在教学实践中实施一轮后，须申请鉴定验收。逾期不完成的予以撤销，特殊原因可申请延期一年。鉴定验收工作一般每学期进行一次。</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（二）混合式教学示范课程鉴定验收标准，按照《内蒙古工业大学混合式教学示范课程建设评价指标体系》中的规定执行。</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（三）鉴定验收程序</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1.自评。课程负责人组织本课程建设组教师，按照学校混合式教学示范课程评价指标及标准逐项进行自评。</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2.学院（部）推荐。课程所在学院（部）对申请鉴定的课程建设组的成果材料进行检查评议，写出推荐意见，报送教务处。</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3.校级鉴定验收。教务处组织专家对申请鉴定课程进行验收。经学校教学工作委员会审议后，公布鉴定验收结果。</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（四）混合式教学示范课程建设项目通过鉴定验收并达到优秀等级，授予“内蒙古工业大学混合式教学示范课程”称号。</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（五）混合式教学示范课程称号有效期为四年。有效期满后，依照上述程序再次进行鉴定。</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六、保障机制与激励措施</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（一）学校每年设立混合式教学示范课程建设专项资金。课程建设经费实行滚动资助，立项后拨付50%，验收后拨付其余50%。</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（二）通过验收的混合式教学示范课程，后续应常态化持续开展混合式教学模式，并在教学任务书中注明“混合式教学模式”，作为学生选课参考。任课教师的教学工作量按原工作量的1.5-3倍计算。</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（三）鼓励优秀的混合式教学示范课程资源对社会开放，加入慕课平台，或提供校际共享。</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（四）学校有计划地开展教学理念更新、网络平台使用、课程教学设计、课程资源制作等系列培训，并提供基础设施及技术服务保障。</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七、其他</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本办法自印发之日起施行，由教务处组织实施并负责解释。</w:t>
      </w:r>
      <w:r>
        <w:rPr>
          <w:rFonts w:hint="eastAsia" w:ascii="仿宋_GB2312" w:eastAsia="仿宋_GB2312"/>
          <w:sz w:val="30"/>
          <w:szCs w:val="30"/>
        </w:rPr>
        <w:br w:type="page"/>
      </w:r>
    </w:p>
    <w:p>
      <w:pPr>
        <w:adjustRightInd w:val="0"/>
        <w:snapToGrid w:val="0"/>
        <w:spacing w:afterLines="50" w:line="300" w:lineRule="auto"/>
        <w:jc w:val="left"/>
        <w:rPr>
          <w:rFonts w:ascii="黑体" w:hAnsi="黑体" w:eastAsia="黑体"/>
          <w:b/>
          <w:sz w:val="30"/>
          <w:szCs w:val="30"/>
        </w:rPr>
      </w:pPr>
      <w:r>
        <w:rPr>
          <w:rFonts w:hint="eastAsia" w:ascii="黑体" w:hAnsi="黑体" w:eastAsia="黑体"/>
          <w:b/>
          <w:sz w:val="30"/>
          <w:szCs w:val="30"/>
        </w:rPr>
        <w:t>附件</w:t>
      </w:r>
    </w:p>
    <w:p>
      <w:pPr>
        <w:spacing w:line="480" w:lineRule="exact"/>
        <w:jc w:val="center"/>
        <w:rPr>
          <w:rFonts w:ascii="仿宋_GB2312" w:eastAsia="仿宋_GB2312"/>
          <w:sz w:val="36"/>
          <w:szCs w:val="36"/>
        </w:rPr>
      </w:pPr>
      <w:r>
        <w:rPr>
          <w:rFonts w:hint="eastAsia" w:asciiTheme="minorEastAsia" w:hAnsiTheme="minorEastAsia" w:eastAsiaTheme="minorEastAsia"/>
          <w:b/>
          <w:sz w:val="36"/>
          <w:szCs w:val="36"/>
        </w:rPr>
        <w:t>内蒙古工业大学混合式教学示范课程建设评价指标体系</w:t>
      </w:r>
    </w:p>
    <w:p>
      <w:pPr>
        <w:jc w:val="center"/>
        <w:rPr>
          <w:b/>
          <w:bCs/>
          <w:sz w:val="24"/>
        </w:rPr>
      </w:pPr>
    </w:p>
    <w:tbl>
      <w:tblPr>
        <w:tblStyle w:val="7"/>
        <w:tblW w:w="8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982"/>
        <w:gridCol w:w="3088"/>
        <w:gridCol w:w="661"/>
        <w:gridCol w:w="500"/>
        <w:gridCol w:w="500"/>
        <w:gridCol w:w="500"/>
        <w:gridCol w:w="50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jc w:val="center"/>
        </w:trPr>
        <w:tc>
          <w:tcPr>
            <w:tcW w:w="709" w:type="dxa"/>
            <w:vMerge w:val="restart"/>
            <w:vAlign w:val="center"/>
          </w:tcPr>
          <w:p>
            <w:pPr>
              <w:spacing w:line="240" w:lineRule="exact"/>
              <w:jc w:val="center"/>
              <w:rPr>
                <w:b/>
                <w:sz w:val="18"/>
              </w:rPr>
            </w:pPr>
            <w:r>
              <w:rPr>
                <w:rFonts w:hint="eastAsia"/>
                <w:b/>
                <w:sz w:val="18"/>
              </w:rPr>
              <w:t>一级指标</w:t>
            </w:r>
          </w:p>
        </w:tc>
        <w:tc>
          <w:tcPr>
            <w:tcW w:w="851" w:type="dxa"/>
            <w:vMerge w:val="restart"/>
            <w:vAlign w:val="center"/>
          </w:tcPr>
          <w:p>
            <w:pPr>
              <w:jc w:val="center"/>
              <w:rPr>
                <w:b/>
                <w:sz w:val="18"/>
              </w:rPr>
            </w:pPr>
            <w:r>
              <w:rPr>
                <w:rFonts w:hint="eastAsia"/>
                <w:b/>
                <w:sz w:val="18"/>
              </w:rPr>
              <w:t>二级</w:t>
            </w:r>
          </w:p>
          <w:p>
            <w:pPr>
              <w:jc w:val="center"/>
              <w:rPr>
                <w:b/>
                <w:sz w:val="18"/>
              </w:rPr>
            </w:pPr>
            <w:r>
              <w:rPr>
                <w:rFonts w:hint="eastAsia"/>
                <w:b/>
                <w:sz w:val="18"/>
              </w:rPr>
              <w:t>指标</w:t>
            </w:r>
          </w:p>
        </w:tc>
        <w:tc>
          <w:tcPr>
            <w:tcW w:w="982" w:type="dxa"/>
            <w:vMerge w:val="restart"/>
            <w:vAlign w:val="center"/>
          </w:tcPr>
          <w:p>
            <w:pPr>
              <w:jc w:val="center"/>
              <w:rPr>
                <w:b/>
                <w:sz w:val="18"/>
              </w:rPr>
            </w:pPr>
            <w:r>
              <w:rPr>
                <w:rFonts w:hint="eastAsia"/>
                <w:b/>
                <w:sz w:val="18"/>
              </w:rPr>
              <w:t>主要</w:t>
            </w:r>
          </w:p>
          <w:p>
            <w:pPr>
              <w:jc w:val="center"/>
              <w:rPr>
                <w:b/>
                <w:sz w:val="18"/>
              </w:rPr>
            </w:pPr>
            <w:r>
              <w:rPr>
                <w:rFonts w:hint="eastAsia"/>
                <w:b/>
                <w:sz w:val="18"/>
              </w:rPr>
              <w:t>观测点</w:t>
            </w:r>
          </w:p>
        </w:tc>
        <w:tc>
          <w:tcPr>
            <w:tcW w:w="3088" w:type="dxa"/>
            <w:vMerge w:val="restart"/>
            <w:vAlign w:val="center"/>
          </w:tcPr>
          <w:p>
            <w:pPr>
              <w:jc w:val="center"/>
              <w:rPr>
                <w:b/>
                <w:sz w:val="18"/>
              </w:rPr>
            </w:pPr>
            <w:r>
              <w:rPr>
                <w:rFonts w:hint="eastAsia"/>
                <w:b/>
                <w:sz w:val="18"/>
              </w:rPr>
              <w:t>建设标准</w:t>
            </w:r>
          </w:p>
        </w:tc>
        <w:tc>
          <w:tcPr>
            <w:tcW w:w="661" w:type="dxa"/>
            <w:vMerge w:val="restart"/>
            <w:vAlign w:val="center"/>
          </w:tcPr>
          <w:p>
            <w:pPr>
              <w:jc w:val="center"/>
              <w:rPr>
                <w:b/>
                <w:sz w:val="18"/>
              </w:rPr>
            </w:pPr>
            <w:r>
              <w:rPr>
                <w:rFonts w:hint="eastAsia"/>
                <w:b/>
                <w:sz w:val="18"/>
              </w:rPr>
              <w:t>分值(M</w:t>
            </w:r>
            <w:r>
              <w:rPr>
                <w:rFonts w:hint="eastAsia"/>
                <w:b/>
                <w:sz w:val="18"/>
                <w:vertAlign w:val="subscript"/>
              </w:rPr>
              <w:t>i</w:t>
            </w:r>
            <w:r>
              <w:rPr>
                <w:rFonts w:hint="eastAsia"/>
                <w:b/>
                <w:sz w:val="18"/>
              </w:rPr>
              <w:t>)</w:t>
            </w:r>
          </w:p>
        </w:tc>
        <w:tc>
          <w:tcPr>
            <w:tcW w:w="2500" w:type="dxa"/>
            <w:gridSpan w:val="5"/>
            <w:tcBorders>
              <w:top w:val="single" w:color="auto" w:sz="4" w:space="0"/>
            </w:tcBorders>
            <w:vAlign w:val="center"/>
          </w:tcPr>
          <w:p>
            <w:pPr>
              <w:jc w:val="center"/>
              <w:rPr>
                <w:b/>
                <w:sz w:val="18"/>
              </w:rPr>
            </w:pPr>
            <w:r>
              <w:rPr>
                <w:rFonts w:hint="eastAsia"/>
                <w:b/>
                <w:sz w:val="18"/>
              </w:rPr>
              <w:t>评价等级（K</w:t>
            </w:r>
            <w:r>
              <w:rPr>
                <w:rFonts w:hint="eastAsia"/>
                <w:b/>
                <w:sz w:val="18"/>
                <w:vertAlign w:val="subscript"/>
              </w:rPr>
              <w:t>i</w:t>
            </w:r>
            <w:r>
              <w:rPr>
                <w:rFonts w:hint="eastAsia"/>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jc w:val="center"/>
        </w:trPr>
        <w:tc>
          <w:tcPr>
            <w:tcW w:w="709" w:type="dxa"/>
            <w:vMerge w:val="continue"/>
            <w:vAlign w:val="center"/>
          </w:tcPr>
          <w:p>
            <w:pPr>
              <w:jc w:val="center"/>
              <w:rPr>
                <w:b/>
                <w:sz w:val="18"/>
              </w:rPr>
            </w:pPr>
          </w:p>
        </w:tc>
        <w:tc>
          <w:tcPr>
            <w:tcW w:w="851" w:type="dxa"/>
            <w:vMerge w:val="continue"/>
            <w:vAlign w:val="center"/>
          </w:tcPr>
          <w:p>
            <w:pPr>
              <w:rPr>
                <w:b/>
                <w:sz w:val="18"/>
              </w:rPr>
            </w:pPr>
          </w:p>
        </w:tc>
        <w:tc>
          <w:tcPr>
            <w:tcW w:w="982" w:type="dxa"/>
            <w:vMerge w:val="continue"/>
            <w:vAlign w:val="center"/>
          </w:tcPr>
          <w:p>
            <w:pPr>
              <w:rPr>
                <w:b/>
                <w:sz w:val="18"/>
              </w:rPr>
            </w:pPr>
          </w:p>
        </w:tc>
        <w:tc>
          <w:tcPr>
            <w:tcW w:w="3088" w:type="dxa"/>
            <w:vMerge w:val="continue"/>
          </w:tcPr>
          <w:p>
            <w:pPr>
              <w:rPr>
                <w:b/>
                <w:sz w:val="18"/>
              </w:rPr>
            </w:pPr>
          </w:p>
        </w:tc>
        <w:tc>
          <w:tcPr>
            <w:tcW w:w="661" w:type="dxa"/>
            <w:vMerge w:val="continue"/>
            <w:vAlign w:val="center"/>
          </w:tcPr>
          <w:p>
            <w:pPr>
              <w:jc w:val="center"/>
              <w:rPr>
                <w:b/>
                <w:sz w:val="18"/>
              </w:rPr>
            </w:pPr>
          </w:p>
        </w:tc>
        <w:tc>
          <w:tcPr>
            <w:tcW w:w="500" w:type="dxa"/>
            <w:vAlign w:val="center"/>
          </w:tcPr>
          <w:p>
            <w:pPr>
              <w:jc w:val="center"/>
              <w:rPr>
                <w:b/>
                <w:sz w:val="18"/>
              </w:rPr>
            </w:pPr>
            <w:r>
              <w:rPr>
                <w:rFonts w:hint="eastAsia"/>
                <w:b/>
                <w:sz w:val="18"/>
              </w:rPr>
              <w:t>a</w:t>
            </w:r>
          </w:p>
        </w:tc>
        <w:tc>
          <w:tcPr>
            <w:tcW w:w="500" w:type="dxa"/>
            <w:vAlign w:val="center"/>
          </w:tcPr>
          <w:p>
            <w:pPr>
              <w:jc w:val="center"/>
              <w:rPr>
                <w:b/>
                <w:sz w:val="18"/>
              </w:rPr>
            </w:pPr>
            <w:r>
              <w:rPr>
                <w:rFonts w:hint="eastAsia"/>
                <w:b/>
                <w:sz w:val="18"/>
              </w:rPr>
              <w:t>b</w:t>
            </w:r>
          </w:p>
        </w:tc>
        <w:tc>
          <w:tcPr>
            <w:tcW w:w="500" w:type="dxa"/>
            <w:vAlign w:val="center"/>
          </w:tcPr>
          <w:p>
            <w:pPr>
              <w:jc w:val="center"/>
              <w:rPr>
                <w:b/>
                <w:sz w:val="18"/>
              </w:rPr>
            </w:pPr>
            <w:r>
              <w:rPr>
                <w:rFonts w:hint="eastAsia"/>
                <w:b/>
                <w:sz w:val="18"/>
              </w:rPr>
              <w:t>c</w:t>
            </w:r>
          </w:p>
        </w:tc>
        <w:tc>
          <w:tcPr>
            <w:tcW w:w="500" w:type="dxa"/>
            <w:vAlign w:val="center"/>
          </w:tcPr>
          <w:p>
            <w:pPr>
              <w:jc w:val="center"/>
              <w:rPr>
                <w:b/>
                <w:sz w:val="18"/>
              </w:rPr>
            </w:pPr>
            <w:r>
              <w:rPr>
                <w:rFonts w:hint="eastAsia"/>
                <w:b/>
                <w:sz w:val="18"/>
              </w:rPr>
              <w:t>d</w:t>
            </w:r>
          </w:p>
        </w:tc>
        <w:tc>
          <w:tcPr>
            <w:tcW w:w="500" w:type="dxa"/>
            <w:vAlign w:val="center"/>
          </w:tcPr>
          <w:p>
            <w:pPr>
              <w:jc w:val="center"/>
              <w:rPr>
                <w:b/>
                <w:sz w:val="18"/>
              </w:rPr>
            </w:pPr>
            <w:r>
              <w:rPr>
                <w:rFonts w:hint="eastAsia"/>
                <w:b/>
                <w:sz w:val="18"/>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 w:hRule="atLeast"/>
          <w:jc w:val="center"/>
        </w:trPr>
        <w:tc>
          <w:tcPr>
            <w:tcW w:w="709" w:type="dxa"/>
            <w:vMerge w:val="continue"/>
            <w:vAlign w:val="center"/>
          </w:tcPr>
          <w:p>
            <w:pPr>
              <w:jc w:val="center"/>
              <w:rPr>
                <w:b/>
                <w:sz w:val="18"/>
              </w:rPr>
            </w:pPr>
          </w:p>
        </w:tc>
        <w:tc>
          <w:tcPr>
            <w:tcW w:w="851" w:type="dxa"/>
            <w:vMerge w:val="continue"/>
            <w:vAlign w:val="center"/>
          </w:tcPr>
          <w:p>
            <w:pPr>
              <w:rPr>
                <w:b/>
                <w:sz w:val="18"/>
              </w:rPr>
            </w:pPr>
          </w:p>
        </w:tc>
        <w:tc>
          <w:tcPr>
            <w:tcW w:w="982" w:type="dxa"/>
            <w:vMerge w:val="continue"/>
            <w:vAlign w:val="center"/>
          </w:tcPr>
          <w:p>
            <w:pPr>
              <w:rPr>
                <w:b/>
                <w:sz w:val="18"/>
              </w:rPr>
            </w:pPr>
          </w:p>
        </w:tc>
        <w:tc>
          <w:tcPr>
            <w:tcW w:w="3088" w:type="dxa"/>
            <w:vMerge w:val="continue"/>
          </w:tcPr>
          <w:p>
            <w:pPr>
              <w:rPr>
                <w:b/>
                <w:sz w:val="18"/>
              </w:rPr>
            </w:pPr>
          </w:p>
        </w:tc>
        <w:tc>
          <w:tcPr>
            <w:tcW w:w="661" w:type="dxa"/>
            <w:vMerge w:val="continue"/>
            <w:vAlign w:val="center"/>
          </w:tcPr>
          <w:p>
            <w:pPr>
              <w:jc w:val="center"/>
              <w:rPr>
                <w:b/>
                <w:sz w:val="18"/>
              </w:rPr>
            </w:pPr>
          </w:p>
        </w:tc>
        <w:tc>
          <w:tcPr>
            <w:tcW w:w="500" w:type="dxa"/>
            <w:vAlign w:val="center"/>
          </w:tcPr>
          <w:p>
            <w:pPr>
              <w:jc w:val="center"/>
              <w:rPr>
                <w:b/>
                <w:sz w:val="18"/>
              </w:rPr>
            </w:pPr>
            <w:r>
              <w:rPr>
                <w:rFonts w:hint="eastAsia"/>
                <w:b/>
                <w:sz w:val="18"/>
              </w:rPr>
              <w:t>1.0</w:t>
            </w:r>
          </w:p>
        </w:tc>
        <w:tc>
          <w:tcPr>
            <w:tcW w:w="500" w:type="dxa"/>
            <w:vAlign w:val="center"/>
          </w:tcPr>
          <w:p>
            <w:pPr>
              <w:jc w:val="center"/>
              <w:rPr>
                <w:b/>
                <w:sz w:val="18"/>
              </w:rPr>
            </w:pPr>
            <w:r>
              <w:rPr>
                <w:rFonts w:hint="eastAsia"/>
                <w:b/>
                <w:sz w:val="18"/>
              </w:rPr>
              <w:t>0.8</w:t>
            </w:r>
          </w:p>
        </w:tc>
        <w:tc>
          <w:tcPr>
            <w:tcW w:w="500" w:type="dxa"/>
            <w:vAlign w:val="center"/>
          </w:tcPr>
          <w:p>
            <w:pPr>
              <w:jc w:val="center"/>
              <w:rPr>
                <w:b/>
                <w:sz w:val="18"/>
              </w:rPr>
            </w:pPr>
            <w:r>
              <w:rPr>
                <w:rFonts w:hint="eastAsia"/>
                <w:b/>
                <w:sz w:val="18"/>
              </w:rPr>
              <w:t>0.6</w:t>
            </w:r>
          </w:p>
        </w:tc>
        <w:tc>
          <w:tcPr>
            <w:tcW w:w="500" w:type="dxa"/>
            <w:vAlign w:val="center"/>
          </w:tcPr>
          <w:p>
            <w:pPr>
              <w:jc w:val="center"/>
              <w:rPr>
                <w:b/>
                <w:sz w:val="18"/>
              </w:rPr>
            </w:pPr>
            <w:r>
              <w:rPr>
                <w:rFonts w:hint="eastAsia"/>
                <w:b/>
                <w:sz w:val="18"/>
              </w:rPr>
              <w:t>0.4</w:t>
            </w:r>
          </w:p>
        </w:tc>
        <w:tc>
          <w:tcPr>
            <w:tcW w:w="500" w:type="dxa"/>
            <w:vAlign w:val="center"/>
          </w:tcPr>
          <w:p>
            <w:pPr>
              <w:jc w:val="center"/>
              <w:rPr>
                <w:b/>
                <w:sz w:val="18"/>
              </w:rPr>
            </w:pPr>
            <w:r>
              <w:rPr>
                <w:rFonts w:hint="eastAsia"/>
                <w:b/>
                <w:sz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restart"/>
            <w:vAlign w:val="center"/>
          </w:tcPr>
          <w:p>
            <w:pPr>
              <w:jc w:val="center"/>
              <w:rPr>
                <w:sz w:val="18"/>
              </w:rPr>
            </w:pPr>
            <w:r>
              <w:rPr>
                <w:rFonts w:hint="eastAsia"/>
                <w:sz w:val="18"/>
              </w:rPr>
              <w:t>混合教学设计65分</w:t>
            </w:r>
          </w:p>
        </w:tc>
        <w:tc>
          <w:tcPr>
            <w:tcW w:w="851" w:type="dxa"/>
            <w:vMerge w:val="restart"/>
            <w:vAlign w:val="center"/>
          </w:tcPr>
          <w:p>
            <w:pPr>
              <w:spacing w:line="280" w:lineRule="exact"/>
              <w:jc w:val="right"/>
              <w:rPr>
                <w:sz w:val="18"/>
                <w:szCs w:val="18"/>
              </w:rPr>
            </w:pPr>
            <w:r>
              <w:rPr>
                <w:sz w:val="18"/>
                <w:szCs w:val="18"/>
              </w:rPr>
              <w:t>1-1</w:t>
            </w:r>
            <w:r>
              <w:rPr>
                <w:rFonts w:hint="eastAsia"/>
                <w:sz w:val="18"/>
                <w:szCs w:val="18"/>
              </w:rPr>
              <w:t>课程信息</w:t>
            </w:r>
          </w:p>
          <w:p>
            <w:pPr>
              <w:spacing w:line="280" w:lineRule="exact"/>
              <w:jc w:val="right"/>
              <w:rPr>
                <w:sz w:val="18"/>
                <w:szCs w:val="18"/>
              </w:rPr>
            </w:pPr>
            <w:r>
              <w:rPr>
                <w:rFonts w:hint="eastAsia"/>
                <w:sz w:val="18"/>
                <w:szCs w:val="18"/>
              </w:rPr>
              <w:t>15分</w:t>
            </w:r>
          </w:p>
        </w:tc>
        <w:tc>
          <w:tcPr>
            <w:tcW w:w="982" w:type="dxa"/>
            <w:vAlign w:val="center"/>
          </w:tcPr>
          <w:p>
            <w:pPr>
              <w:spacing w:line="280" w:lineRule="exact"/>
              <w:rPr>
                <w:sz w:val="18"/>
                <w:szCs w:val="18"/>
              </w:rPr>
            </w:pPr>
            <w:r>
              <w:rPr>
                <w:rFonts w:hint="eastAsia"/>
                <w:sz w:val="18"/>
                <w:szCs w:val="18"/>
              </w:rPr>
              <w:t>课程维护</w:t>
            </w:r>
          </w:p>
        </w:tc>
        <w:tc>
          <w:tcPr>
            <w:tcW w:w="3088" w:type="dxa"/>
            <w:vAlign w:val="center"/>
          </w:tcPr>
          <w:p>
            <w:pPr>
              <w:spacing w:line="280" w:lineRule="exact"/>
              <w:rPr>
                <w:sz w:val="18"/>
                <w:szCs w:val="18"/>
              </w:rPr>
            </w:pPr>
            <w:r>
              <w:rPr>
                <w:rFonts w:hint="eastAsia"/>
                <w:sz w:val="18"/>
                <w:szCs w:val="18"/>
              </w:rPr>
              <w:t>及时维护和更新课程信息及相关资源。</w:t>
            </w:r>
          </w:p>
        </w:tc>
        <w:tc>
          <w:tcPr>
            <w:tcW w:w="661" w:type="dxa"/>
            <w:vAlign w:val="center"/>
          </w:tcPr>
          <w:p>
            <w:pPr>
              <w:jc w:val="center"/>
              <w:rPr>
                <w:sz w:val="18"/>
                <w:szCs w:val="18"/>
              </w:rPr>
            </w:pPr>
            <w:r>
              <w:rPr>
                <w:rFonts w:hint="eastAsia"/>
                <w:sz w:val="18"/>
                <w:szCs w:val="18"/>
              </w:rPr>
              <w:t>2</w:t>
            </w:r>
          </w:p>
        </w:tc>
        <w:tc>
          <w:tcPr>
            <w:tcW w:w="500" w:type="dxa"/>
            <w:vAlign w:val="center"/>
          </w:tcPr>
          <w:p>
            <w:pPr>
              <w:jc w:val="center"/>
              <w:rPr>
                <w:sz w:val="18"/>
                <w:szCs w:val="18"/>
              </w:rPr>
            </w:pPr>
          </w:p>
        </w:tc>
        <w:tc>
          <w:tcPr>
            <w:tcW w:w="500" w:type="dxa"/>
            <w:vAlign w:val="center"/>
          </w:tcPr>
          <w:p>
            <w:pPr>
              <w:jc w:val="center"/>
              <w:rPr>
                <w:sz w:val="18"/>
                <w:szCs w:val="18"/>
              </w:rPr>
            </w:pPr>
          </w:p>
        </w:tc>
        <w:tc>
          <w:tcPr>
            <w:tcW w:w="500" w:type="dxa"/>
            <w:vAlign w:val="center"/>
          </w:tcPr>
          <w:p>
            <w:pPr>
              <w:jc w:val="center"/>
              <w:rPr>
                <w:sz w:val="18"/>
                <w:szCs w:val="18"/>
              </w:rPr>
            </w:pPr>
          </w:p>
        </w:tc>
        <w:tc>
          <w:tcPr>
            <w:tcW w:w="500" w:type="dxa"/>
            <w:vAlign w:val="center"/>
          </w:tcPr>
          <w:p>
            <w:pPr>
              <w:jc w:val="center"/>
              <w:rPr>
                <w:sz w:val="18"/>
                <w:szCs w:val="18"/>
              </w:rPr>
            </w:pPr>
          </w:p>
        </w:tc>
        <w:tc>
          <w:tcPr>
            <w:tcW w:w="500" w:type="dxa"/>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180" w:hanging="180" w:hangingChars="100"/>
              <w:rPr>
                <w:sz w:val="18"/>
              </w:rPr>
            </w:pPr>
          </w:p>
        </w:tc>
        <w:tc>
          <w:tcPr>
            <w:tcW w:w="982" w:type="dxa"/>
            <w:vAlign w:val="center"/>
          </w:tcPr>
          <w:p>
            <w:pPr>
              <w:spacing w:line="280" w:lineRule="exact"/>
              <w:rPr>
                <w:sz w:val="18"/>
                <w:szCs w:val="18"/>
              </w:rPr>
            </w:pPr>
            <w:r>
              <w:rPr>
                <w:rFonts w:hint="eastAsia"/>
                <w:sz w:val="18"/>
                <w:szCs w:val="18"/>
              </w:rPr>
              <w:t>课程介绍</w:t>
            </w:r>
            <w:r>
              <w:rPr>
                <w:sz w:val="18"/>
                <w:szCs w:val="18"/>
              </w:rPr>
              <w:t xml:space="preserve"> </w:t>
            </w:r>
          </w:p>
        </w:tc>
        <w:tc>
          <w:tcPr>
            <w:tcW w:w="3088" w:type="dxa"/>
            <w:vAlign w:val="center"/>
          </w:tcPr>
          <w:p>
            <w:pPr>
              <w:spacing w:line="280" w:lineRule="exact"/>
              <w:rPr>
                <w:sz w:val="18"/>
                <w:szCs w:val="18"/>
              </w:rPr>
            </w:pPr>
            <w:r>
              <w:rPr>
                <w:rFonts w:hint="eastAsia"/>
                <w:sz w:val="18"/>
                <w:szCs w:val="18"/>
              </w:rPr>
              <w:t>对本课程做概括介绍，包括课程发展的主要历史、课程性质、教学目的等。</w:t>
            </w:r>
            <w:r>
              <w:rPr>
                <w:sz w:val="18"/>
                <w:szCs w:val="18"/>
              </w:rPr>
              <w:t xml:space="preserve"> </w:t>
            </w:r>
          </w:p>
        </w:tc>
        <w:tc>
          <w:tcPr>
            <w:tcW w:w="661" w:type="dxa"/>
            <w:vAlign w:val="center"/>
          </w:tcPr>
          <w:p>
            <w:pPr>
              <w:jc w:val="center"/>
              <w:rPr>
                <w:sz w:val="18"/>
              </w:rPr>
            </w:pPr>
            <w:r>
              <w:rPr>
                <w:rFonts w:hint="eastAsia"/>
                <w:sz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180" w:hanging="180" w:hangingChars="100"/>
              <w:rPr>
                <w:sz w:val="18"/>
              </w:rPr>
            </w:pPr>
          </w:p>
        </w:tc>
        <w:tc>
          <w:tcPr>
            <w:tcW w:w="982" w:type="dxa"/>
            <w:vAlign w:val="center"/>
          </w:tcPr>
          <w:p>
            <w:pPr>
              <w:spacing w:line="280" w:lineRule="exact"/>
              <w:rPr>
                <w:sz w:val="18"/>
                <w:szCs w:val="18"/>
              </w:rPr>
            </w:pPr>
            <w:r>
              <w:rPr>
                <w:rFonts w:hint="eastAsia"/>
                <w:sz w:val="18"/>
                <w:szCs w:val="18"/>
              </w:rPr>
              <w:t>课程标准</w:t>
            </w:r>
            <w:r>
              <w:rPr>
                <w:sz w:val="18"/>
                <w:szCs w:val="18"/>
              </w:rPr>
              <w:t xml:space="preserve"> </w:t>
            </w:r>
          </w:p>
        </w:tc>
        <w:tc>
          <w:tcPr>
            <w:tcW w:w="3088" w:type="dxa"/>
            <w:vAlign w:val="center"/>
          </w:tcPr>
          <w:p>
            <w:pPr>
              <w:spacing w:line="280" w:lineRule="exact"/>
              <w:rPr>
                <w:sz w:val="18"/>
                <w:szCs w:val="18"/>
              </w:rPr>
            </w:pPr>
            <w:r>
              <w:rPr>
                <w:rFonts w:hint="eastAsia"/>
                <w:sz w:val="18"/>
                <w:szCs w:val="18"/>
              </w:rPr>
              <w:t>对本课程</w:t>
            </w:r>
            <w:r>
              <w:rPr>
                <w:sz w:val="18"/>
                <w:szCs w:val="18"/>
              </w:rPr>
              <w:t>的课程性质、</w:t>
            </w:r>
            <w:r>
              <w:rPr>
                <w:rFonts w:hint="eastAsia"/>
                <w:sz w:val="18"/>
                <w:szCs w:val="18"/>
              </w:rPr>
              <w:t>教学</w:t>
            </w:r>
            <w:r>
              <w:rPr>
                <w:sz w:val="18"/>
                <w:szCs w:val="18"/>
              </w:rPr>
              <w:t>目标、</w:t>
            </w:r>
            <w:r>
              <w:rPr>
                <w:rFonts w:hint="eastAsia"/>
                <w:sz w:val="18"/>
                <w:szCs w:val="18"/>
              </w:rPr>
              <w:t>主要</w:t>
            </w:r>
            <w:r>
              <w:rPr>
                <w:sz w:val="18"/>
                <w:szCs w:val="18"/>
              </w:rPr>
              <w:t>内容、实施建议</w:t>
            </w:r>
            <w:r>
              <w:rPr>
                <w:rFonts w:hint="eastAsia"/>
                <w:sz w:val="18"/>
                <w:szCs w:val="18"/>
              </w:rPr>
              <w:t>等做出概括性规定。</w:t>
            </w:r>
            <w:r>
              <w:rPr>
                <w:sz w:val="18"/>
                <w:szCs w:val="18"/>
              </w:rPr>
              <w:t xml:space="preserve"> </w:t>
            </w:r>
          </w:p>
        </w:tc>
        <w:tc>
          <w:tcPr>
            <w:tcW w:w="661" w:type="dxa"/>
            <w:vAlign w:val="center"/>
          </w:tcPr>
          <w:p>
            <w:pPr>
              <w:jc w:val="center"/>
              <w:rPr>
                <w:sz w:val="18"/>
              </w:rPr>
            </w:pPr>
            <w:r>
              <w:rPr>
                <w:rFonts w:hint="eastAsia"/>
                <w:sz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180" w:hanging="180" w:hangingChars="100"/>
              <w:rPr>
                <w:sz w:val="18"/>
              </w:rPr>
            </w:pPr>
          </w:p>
        </w:tc>
        <w:tc>
          <w:tcPr>
            <w:tcW w:w="982" w:type="dxa"/>
            <w:vAlign w:val="center"/>
          </w:tcPr>
          <w:p>
            <w:pPr>
              <w:spacing w:line="280" w:lineRule="exact"/>
              <w:rPr>
                <w:sz w:val="18"/>
                <w:szCs w:val="18"/>
              </w:rPr>
            </w:pPr>
            <w:r>
              <w:rPr>
                <w:rFonts w:hint="eastAsia"/>
                <w:sz w:val="18"/>
                <w:szCs w:val="18"/>
              </w:rPr>
              <w:t>课程教学设计</w:t>
            </w:r>
          </w:p>
        </w:tc>
        <w:tc>
          <w:tcPr>
            <w:tcW w:w="3088" w:type="dxa"/>
            <w:vAlign w:val="center"/>
          </w:tcPr>
          <w:p>
            <w:pPr>
              <w:spacing w:line="280" w:lineRule="exact"/>
              <w:rPr>
                <w:sz w:val="18"/>
                <w:szCs w:val="18"/>
              </w:rPr>
            </w:pPr>
            <w:r>
              <w:rPr>
                <w:rFonts w:hint="eastAsia"/>
                <w:sz w:val="18"/>
                <w:szCs w:val="18"/>
              </w:rPr>
              <w:t>提供本课程的授课计划和教学进程安排。</w:t>
            </w:r>
            <w:r>
              <w:rPr>
                <w:sz w:val="18"/>
                <w:szCs w:val="18"/>
              </w:rPr>
              <w:t xml:space="preserve"> </w:t>
            </w:r>
          </w:p>
        </w:tc>
        <w:tc>
          <w:tcPr>
            <w:tcW w:w="661" w:type="dxa"/>
            <w:vAlign w:val="center"/>
          </w:tcPr>
          <w:p>
            <w:pPr>
              <w:jc w:val="center"/>
              <w:rPr>
                <w:sz w:val="18"/>
              </w:rPr>
            </w:pPr>
            <w:r>
              <w:rPr>
                <w:rFonts w:hint="eastAsia"/>
                <w:sz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180" w:hanging="180" w:hangingChars="100"/>
              <w:rPr>
                <w:sz w:val="18"/>
              </w:rPr>
            </w:pPr>
          </w:p>
        </w:tc>
        <w:tc>
          <w:tcPr>
            <w:tcW w:w="982" w:type="dxa"/>
            <w:vAlign w:val="center"/>
          </w:tcPr>
          <w:p>
            <w:pPr>
              <w:spacing w:line="280" w:lineRule="exact"/>
              <w:rPr>
                <w:sz w:val="18"/>
                <w:szCs w:val="18"/>
              </w:rPr>
            </w:pPr>
            <w:r>
              <w:rPr>
                <w:rFonts w:hint="eastAsia"/>
                <w:sz w:val="18"/>
                <w:szCs w:val="18"/>
              </w:rPr>
              <w:t>教师信息</w:t>
            </w:r>
          </w:p>
        </w:tc>
        <w:tc>
          <w:tcPr>
            <w:tcW w:w="3088" w:type="dxa"/>
            <w:vAlign w:val="center"/>
          </w:tcPr>
          <w:p>
            <w:pPr>
              <w:spacing w:line="280" w:lineRule="exact"/>
              <w:rPr>
                <w:sz w:val="18"/>
                <w:szCs w:val="18"/>
              </w:rPr>
            </w:pPr>
            <w:r>
              <w:rPr>
                <w:rFonts w:hint="eastAsia"/>
                <w:sz w:val="18"/>
                <w:szCs w:val="18"/>
              </w:rPr>
              <w:t>对本课程主讲教师、辅导教师和助教等成员做详细介绍，包括基本简历、研究方向及成果、教学成果、教学特色等。</w:t>
            </w:r>
            <w:r>
              <w:rPr>
                <w:sz w:val="18"/>
                <w:szCs w:val="18"/>
              </w:rPr>
              <w:t xml:space="preserve"> </w:t>
            </w:r>
          </w:p>
        </w:tc>
        <w:tc>
          <w:tcPr>
            <w:tcW w:w="661" w:type="dxa"/>
            <w:vAlign w:val="center"/>
          </w:tcPr>
          <w:p>
            <w:pPr>
              <w:jc w:val="center"/>
              <w:rPr>
                <w:sz w:val="18"/>
              </w:rPr>
            </w:pPr>
            <w:r>
              <w:rPr>
                <w:rFonts w:hint="eastAsia"/>
                <w:sz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180" w:hanging="180" w:hangingChars="100"/>
              <w:rPr>
                <w:sz w:val="18"/>
              </w:rPr>
            </w:pPr>
          </w:p>
        </w:tc>
        <w:tc>
          <w:tcPr>
            <w:tcW w:w="982" w:type="dxa"/>
            <w:vAlign w:val="center"/>
          </w:tcPr>
          <w:p>
            <w:pPr>
              <w:spacing w:line="280" w:lineRule="exact"/>
              <w:rPr>
                <w:sz w:val="18"/>
                <w:szCs w:val="18"/>
              </w:rPr>
            </w:pPr>
            <w:r>
              <w:rPr>
                <w:rFonts w:hint="eastAsia"/>
                <w:sz w:val="18"/>
                <w:szCs w:val="18"/>
              </w:rPr>
              <w:t>导学信息</w:t>
            </w:r>
          </w:p>
        </w:tc>
        <w:tc>
          <w:tcPr>
            <w:tcW w:w="3088" w:type="dxa"/>
            <w:vAlign w:val="center"/>
          </w:tcPr>
          <w:p>
            <w:pPr>
              <w:spacing w:line="280" w:lineRule="exact"/>
              <w:rPr>
                <w:sz w:val="18"/>
                <w:szCs w:val="18"/>
              </w:rPr>
            </w:pPr>
            <w:r>
              <w:rPr>
                <w:rFonts w:hint="eastAsia"/>
                <w:sz w:val="18"/>
                <w:szCs w:val="18"/>
              </w:rPr>
              <w:t>对如何学好本课程和课程的章节给出指导性意见，如本课程学习目标、重点、难点、特点、学习材料和具体的学习方法。</w:t>
            </w:r>
            <w:r>
              <w:rPr>
                <w:sz w:val="18"/>
                <w:szCs w:val="18"/>
              </w:rPr>
              <w:t xml:space="preserve"> </w:t>
            </w:r>
          </w:p>
        </w:tc>
        <w:tc>
          <w:tcPr>
            <w:tcW w:w="661" w:type="dxa"/>
            <w:vAlign w:val="center"/>
          </w:tcPr>
          <w:p>
            <w:pPr>
              <w:jc w:val="center"/>
              <w:rPr>
                <w:sz w:val="18"/>
              </w:rPr>
            </w:pPr>
            <w:r>
              <w:rPr>
                <w:rFonts w:hint="eastAsia"/>
                <w:sz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restart"/>
            <w:vAlign w:val="center"/>
          </w:tcPr>
          <w:p>
            <w:pPr>
              <w:spacing w:line="280" w:lineRule="exact"/>
              <w:ind w:left="-8" w:leftChars="-4"/>
              <w:jc w:val="right"/>
              <w:rPr>
                <w:sz w:val="18"/>
                <w:szCs w:val="18"/>
              </w:rPr>
            </w:pPr>
            <w:r>
              <w:rPr>
                <w:rFonts w:hint="eastAsia"/>
                <w:sz w:val="18"/>
                <w:szCs w:val="18"/>
              </w:rPr>
              <w:t>1-2教学资源</w:t>
            </w:r>
          </w:p>
          <w:p>
            <w:pPr>
              <w:spacing w:line="280" w:lineRule="exact"/>
              <w:ind w:left="-8" w:leftChars="-4"/>
              <w:jc w:val="right"/>
              <w:rPr>
                <w:sz w:val="18"/>
                <w:szCs w:val="18"/>
              </w:rPr>
            </w:pPr>
            <w:r>
              <w:rPr>
                <w:rFonts w:hint="eastAsia"/>
                <w:sz w:val="18"/>
                <w:szCs w:val="18"/>
              </w:rPr>
              <w:t>20分</w:t>
            </w:r>
          </w:p>
        </w:tc>
        <w:tc>
          <w:tcPr>
            <w:tcW w:w="982" w:type="dxa"/>
            <w:vAlign w:val="center"/>
          </w:tcPr>
          <w:p>
            <w:pPr>
              <w:spacing w:line="280" w:lineRule="exact"/>
              <w:rPr>
                <w:sz w:val="18"/>
                <w:szCs w:val="18"/>
              </w:rPr>
            </w:pPr>
            <w:r>
              <w:rPr>
                <w:rFonts w:hint="eastAsia"/>
                <w:sz w:val="18"/>
                <w:szCs w:val="18"/>
              </w:rPr>
              <w:t>学习单元</w:t>
            </w:r>
          </w:p>
        </w:tc>
        <w:tc>
          <w:tcPr>
            <w:tcW w:w="3088"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线上有以学习单元为单位组织的章节内容；</w:t>
            </w:r>
            <w:r>
              <w:rPr>
                <w:rFonts w:ascii="Calibri" w:hAnsi="Calibri" w:cs="Times New Roman"/>
                <w:color w:val="auto"/>
                <w:kern w:val="2"/>
                <w:sz w:val="18"/>
                <w:szCs w:val="18"/>
              </w:rPr>
              <w:t xml:space="preserve"> </w:t>
            </w:r>
            <w:r>
              <w:rPr>
                <w:rFonts w:hint="eastAsia" w:ascii="Calibri" w:hAnsi="Calibri" w:cs="Times New Roman"/>
                <w:color w:val="auto"/>
                <w:kern w:val="2"/>
                <w:sz w:val="18"/>
                <w:szCs w:val="18"/>
              </w:rPr>
              <w:t>线下有完整教学设计。</w:t>
            </w:r>
            <w:r>
              <w:rPr>
                <w:rFonts w:ascii="Calibri" w:hAnsi="Calibri" w:cs="Times New Roman"/>
                <w:color w:val="auto"/>
                <w:kern w:val="2"/>
                <w:sz w:val="18"/>
                <w:szCs w:val="18"/>
              </w:rPr>
              <w:t xml:space="preserve"> </w:t>
            </w:r>
          </w:p>
        </w:tc>
        <w:tc>
          <w:tcPr>
            <w:tcW w:w="661" w:type="dxa"/>
            <w:vAlign w:val="center"/>
          </w:tcPr>
          <w:p>
            <w:pPr>
              <w:jc w:val="center"/>
              <w:rPr>
                <w:sz w:val="18"/>
              </w:rPr>
            </w:pPr>
            <w:r>
              <w:rPr>
                <w:rFonts w:hint="eastAsia"/>
                <w:sz w:val="18"/>
              </w:rPr>
              <w:t>6</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电子课件</w:t>
            </w:r>
          </w:p>
        </w:tc>
        <w:tc>
          <w:tcPr>
            <w:tcW w:w="3088" w:type="dxa"/>
            <w:vAlign w:val="center"/>
          </w:tcPr>
          <w:p>
            <w:pPr>
              <w:spacing w:line="280" w:lineRule="exact"/>
              <w:rPr>
                <w:sz w:val="18"/>
                <w:szCs w:val="18"/>
              </w:rPr>
            </w:pPr>
            <w:r>
              <w:rPr>
                <w:rFonts w:hint="eastAsia"/>
                <w:sz w:val="18"/>
                <w:szCs w:val="18"/>
              </w:rPr>
              <w:t>线上包括文本、图形图像和多媒体教学课件。线上、线下资源齐全，能覆盖主要知识点。</w:t>
            </w:r>
            <w:r>
              <w:rPr>
                <w:sz w:val="18"/>
                <w:szCs w:val="18"/>
              </w:rPr>
              <w:t xml:space="preserve"> </w:t>
            </w:r>
          </w:p>
        </w:tc>
        <w:tc>
          <w:tcPr>
            <w:tcW w:w="661" w:type="dxa"/>
            <w:vAlign w:val="center"/>
          </w:tcPr>
          <w:p>
            <w:pPr>
              <w:jc w:val="center"/>
              <w:rPr>
                <w:sz w:val="18"/>
              </w:rPr>
            </w:pPr>
            <w:r>
              <w:rPr>
                <w:rFonts w:hint="eastAsia"/>
                <w:sz w:val="18"/>
              </w:rPr>
              <w:t>6</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视频讲解</w:t>
            </w:r>
          </w:p>
        </w:tc>
        <w:tc>
          <w:tcPr>
            <w:tcW w:w="3088" w:type="dxa"/>
            <w:vAlign w:val="center"/>
          </w:tcPr>
          <w:p>
            <w:pPr>
              <w:spacing w:line="280" w:lineRule="exact"/>
              <w:rPr>
                <w:sz w:val="18"/>
                <w:szCs w:val="18"/>
              </w:rPr>
            </w:pPr>
            <w:r>
              <w:rPr>
                <w:rFonts w:hint="eastAsia"/>
                <w:sz w:val="18"/>
                <w:szCs w:val="18"/>
              </w:rPr>
              <w:t>线上提供微视频，一个知识点一个微视频单元（长度在</w:t>
            </w:r>
            <w:r>
              <w:rPr>
                <w:sz w:val="18"/>
                <w:szCs w:val="18"/>
              </w:rPr>
              <w:t>3-15</w:t>
            </w:r>
            <w:r>
              <w:rPr>
                <w:rFonts w:hint="eastAsia"/>
                <w:sz w:val="18"/>
                <w:szCs w:val="18"/>
              </w:rPr>
              <w:t>分钟）；</w:t>
            </w:r>
            <w:r>
              <w:rPr>
                <w:sz w:val="18"/>
                <w:szCs w:val="18"/>
              </w:rPr>
              <w:t xml:space="preserve"> </w:t>
            </w:r>
          </w:p>
          <w:p>
            <w:pPr>
              <w:spacing w:line="280" w:lineRule="exact"/>
              <w:rPr>
                <w:sz w:val="18"/>
                <w:szCs w:val="18"/>
              </w:rPr>
            </w:pPr>
            <w:r>
              <w:rPr>
                <w:rFonts w:hint="eastAsia"/>
                <w:sz w:val="18"/>
                <w:szCs w:val="18"/>
              </w:rPr>
              <w:t>线下课堂增强师生互动，着重解决深层次问题。</w:t>
            </w:r>
            <w:r>
              <w:rPr>
                <w:sz w:val="18"/>
                <w:szCs w:val="18"/>
              </w:rPr>
              <w:t xml:space="preserve"> </w:t>
            </w:r>
          </w:p>
        </w:tc>
        <w:tc>
          <w:tcPr>
            <w:tcW w:w="661" w:type="dxa"/>
            <w:vAlign w:val="center"/>
          </w:tcPr>
          <w:p>
            <w:pPr>
              <w:jc w:val="center"/>
              <w:rPr>
                <w:sz w:val="18"/>
              </w:rPr>
            </w:pPr>
            <w:r>
              <w:rPr>
                <w:rFonts w:hint="eastAsia"/>
                <w:sz w:val="18"/>
              </w:rPr>
              <w:t>4</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拓展资源</w:t>
            </w:r>
            <w:r>
              <w:rPr>
                <w:sz w:val="18"/>
                <w:szCs w:val="18"/>
              </w:rPr>
              <w:t xml:space="preserve"> </w:t>
            </w:r>
          </w:p>
        </w:tc>
        <w:tc>
          <w:tcPr>
            <w:tcW w:w="3088" w:type="dxa"/>
            <w:vAlign w:val="center"/>
          </w:tcPr>
          <w:p>
            <w:pPr>
              <w:spacing w:line="280" w:lineRule="exact"/>
              <w:rPr>
                <w:sz w:val="18"/>
                <w:szCs w:val="18"/>
              </w:rPr>
            </w:pPr>
            <w:r>
              <w:rPr>
                <w:rFonts w:hint="eastAsia"/>
                <w:sz w:val="18"/>
                <w:szCs w:val="18"/>
              </w:rPr>
              <w:t>具有本课程特色的学习资源和有利于学生素质提高、知识拓展的相关网络资源链接，如案例分析、作品欣赏、其他教学视频、论文链接、网站链接及本课程前沿问题讨论的链接等。</w:t>
            </w:r>
            <w:r>
              <w:rPr>
                <w:sz w:val="18"/>
                <w:szCs w:val="18"/>
              </w:rPr>
              <w:t xml:space="preserve"> </w:t>
            </w:r>
          </w:p>
        </w:tc>
        <w:tc>
          <w:tcPr>
            <w:tcW w:w="661" w:type="dxa"/>
            <w:vAlign w:val="center"/>
          </w:tcPr>
          <w:p>
            <w:pPr>
              <w:jc w:val="center"/>
              <w:rPr>
                <w:sz w:val="18"/>
              </w:rPr>
            </w:pPr>
            <w:r>
              <w:rPr>
                <w:rFonts w:hint="eastAsia"/>
                <w:sz w:val="18"/>
              </w:rPr>
              <w:t>4</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restart"/>
            <w:vAlign w:val="center"/>
          </w:tcPr>
          <w:p>
            <w:pPr>
              <w:spacing w:line="280" w:lineRule="exact"/>
              <w:jc w:val="right"/>
              <w:rPr>
                <w:sz w:val="18"/>
                <w:szCs w:val="18"/>
              </w:rPr>
            </w:pPr>
            <w:r>
              <w:rPr>
                <w:rFonts w:hint="eastAsia"/>
                <w:sz w:val="18"/>
                <w:szCs w:val="18"/>
              </w:rPr>
              <w:t>1-3教学活动</w:t>
            </w:r>
          </w:p>
          <w:p>
            <w:pPr>
              <w:spacing w:line="280" w:lineRule="exact"/>
              <w:jc w:val="right"/>
              <w:rPr>
                <w:sz w:val="18"/>
                <w:szCs w:val="18"/>
              </w:rPr>
            </w:pPr>
            <w:r>
              <w:rPr>
                <w:rFonts w:hint="eastAsia"/>
                <w:sz w:val="18"/>
                <w:szCs w:val="18"/>
              </w:rPr>
              <w:t>30分</w:t>
            </w:r>
          </w:p>
        </w:tc>
        <w:tc>
          <w:tcPr>
            <w:tcW w:w="982" w:type="dxa"/>
            <w:vAlign w:val="center"/>
          </w:tcPr>
          <w:p>
            <w:pPr>
              <w:spacing w:line="280" w:lineRule="exact"/>
              <w:rPr>
                <w:sz w:val="18"/>
                <w:szCs w:val="18"/>
              </w:rPr>
            </w:pPr>
            <w:r>
              <w:rPr>
                <w:rFonts w:hint="eastAsia"/>
                <w:sz w:val="18"/>
                <w:szCs w:val="18"/>
              </w:rPr>
              <w:t>信息发布</w:t>
            </w:r>
          </w:p>
        </w:tc>
        <w:tc>
          <w:tcPr>
            <w:tcW w:w="3088" w:type="dxa"/>
            <w:vAlign w:val="center"/>
          </w:tcPr>
          <w:p>
            <w:pPr>
              <w:spacing w:line="280" w:lineRule="exact"/>
              <w:rPr>
                <w:sz w:val="18"/>
                <w:szCs w:val="18"/>
              </w:rPr>
            </w:pPr>
            <w:r>
              <w:rPr>
                <w:rFonts w:hint="eastAsia"/>
                <w:sz w:val="18"/>
                <w:szCs w:val="18"/>
              </w:rPr>
              <w:t>充分利用网络平台及时发布课程信息、任务及相关通知，实现各类信息的充分交流与及时反馈。</w:t>
            </w:r>
            <w:r>
              <w:rPr>
                <w:sz w:val="18"/>
                <w:szCs w:val="18"/>
              </w:rPr>
              <w:t xml:space="preserve"> </w:t>
            </w:r>
          </w:p>
        </w:tc>
        <w:tc>
          <w:tcPr>
            <w:tcW w:w="661" w:type="dxa"/>
            <w:vAlign w:val="center"/>
          </w:tcPr>
          <w:p>
            <w:pPr>
              <w:jc w:val="center"/>
              <w:rPr>
                <w:sz w:val="18"/>
              </w:rPr>
            </w:pPr>
            <w:r>
              <w:rPr>
                <w:rFonts w:hint="eastAsia"/>
                <w:sz w:val="18"/>
              </w:rPr>
              <w:t>3</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答疑讨论</w:t>
            </w:r>
            <w:r>
              <w:rPr>
                <w:sz w:val="18"/>
                <w:szCs w:val="18"/>
              </w:rPr>
              <w:t xml:space="preserve"> </w:t>
            </w:r>
          </w:p>
        </w:tc>
        <w:tc>
          <w:tcPr>
            <w:tcW w:w="3088" w:type="dxa"/>
            <w:vAlign w:val="center"/>
          </w:tcPr>
          <w:p>
            <w:pPr>
              <w:spacing w:line="280" w:lineRule="exact"/>
              <w:rPr>
                <w:sz w:val="18"/>
                <w:szCs w:val="18"/>
              </w:rPr>
            </w:pPr>
            <w:r>
              <w:rPr>
                <w:rFonts w:hint="eastAsia"/>
                <w:sz w:val="18"/>
                <w:szCs w:val="18"/>
              </w:rPr>
              <w:t>利用答疑模块提供针对课程的相关问题并及时准确解答。积极发起并主持线上线下讨论，开设学习方法探讨专栏，带动学生有效学习。</w:t>
            </w:r>
            <w:r>
              <w:rPr>
                <w:sz w:val="18"/>
                <w:szCs w:val="18"/>
              </w:rPr>
              <w:t xml:space="preserve"> </w:t>
            </w:r>
          </w:p>
        </w:tc>
        <w:tc>
          <w:tcPr>
            <w:tcW w:w="661" w:type="dxa"/>
            <w:vAlign w:val="center"/>
          </w:tcPr>
          <w:p>
            <w:pPr>
              <w:pStyle w:val="21"/>
              <w:jc w:val="center"/>
              <w:rPr>
                <w:sz w:val="18"/>
                <w:szCs w:val="18"/>
              </w:rPr>
            </w:pPr>
            <w:r>
              <w:rPr>
                <w:rFonts w:hint="eastAsia"/>
                <w:sz w:val="18"/>
                <w:szCs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课程问卷</w:t>
            </w:r>
          </w:p>
        </w:tc>
        <w:tc>
          <w:tcPr>
            <w:tcW w:w="3088" w:type="dxa"/>
            <w:vAlign w:val="center"/>
          </w:tcPr>
          <w:p>
            <w:pPr>
              <w:spacing w:line="280" w:lineRule="exact"/>
              <w:rPr>
                <w:sz w:val="18"/>
                <w:szCs w:val="18"/>
              </w:rPr>
            </w:pPr>
            <w:r>
              <w:rPr>
                <w:rFonts w:hint="eastAsia"/>
                <w:sz w:val="18"/>
                <w:szCs w:val="18"/>
              </w:rPr>
              <w:t>设计和发布教学相关的问卷</w:t>
            </w:r>
            <w:r>
              <w:rPr>
                <w:sz w:val="18"/>
                <w:szCs w:val="18"/>
              </w:rPr>
              <w:t xml:space="preserve"> </w:t>
            </w:r>
            <w:r>
              <w:rPr>
                <w:rFonts w:hint="eastAsia"/>
                <w:sz w:val="18"/>
                <w:szCs w:val="18"/>
              </w:rPr>
              <w:t>。</w:t>
            </w:r>
          </w:p>
        </w:tc>
        <w:tc>
          <w:tcPr>
            <w:tcW w:w="661" w:type="dxa"/>
            <w:vAlign w:val="center"/>
          </w:tcPr>
          <w:p>
            <w:pPr>
              <w:pStyle w:val="21"/>
              <w:jc w:val="center"/>
              <w:rPr>
                <w:sz w:val="18"/>
                <w:szCs w:val="18"/>
              </w:rPr>
            </w:pPr>
            <w:r>
              <w:rPr>
                <w:sz w:val="18"/>
                <w:szCs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jc w:val="center"/>
        </w:trPr>
        <w:tc>
          <w:tcPr>
            <w:tcW w:w="709" w:type="dxa"/>
            <w:vMerge w:val="restart"/>
            <w:vAlign w:val="center"/>
          </w:tcPr>
          <w:p>
            <w:pPr>
              <w:spacing w:line="240" w:lineRule="exact"/>
              <w:jc w:val="center"/>
              <w:rPr>
                <w:b/>
                <w:sz w:val="18"/>
              </w:rPr>
            </w:pPr>
            <w:r>
              <w:br w:type="page"/>
            </w:r>
            <w:r>
              <w:rPr>
                <w:rFonts w:hint="eastAsia"/>
                <w:b/>
                <w:sz w:val="18"/>
              </w:rPr>
              <w:t>一级指标</w:t>
            </w:r>
          </w:p>
        </w:tc>
        <w:tc>
          <w:tcPr>
            <w:tcW w:w="851" w:type="dxa"/>
            <w:vMerge w:val="restart"/>
            <w:vAlign w:val="center"/>
          </w:tcPr>
          <w:p>
            <w:pPr>
              <w:jc w:val="center"/>
              <w:rPr>
                <w:b/>
                <w:sz w:val="18"/>
              </w:rPr>
            </w:pPr>
            <w:r>
              <w:rPr>
                <w:rFonts w:hint="eastAsia"/>
                <w:b/>
                <w:sz w:val="18"/>
              </w:rPr>
              <w:t>二级</w:t>
            </w:r>
          </w:p>
          <w:p>
            <w:pPr>
              <w:jc w:val="center"/>
              <w:rPr>
                <w:b/>
                <w:sz w:val="18"/>
              </w:rPr>
            </w:pPr>
            <w:r>
              <w:rPr>
                <w:rFonts w:hint="eastAsia"/>
                <w:b/>
                <w:sz w:val="18"/>
              </w:rPr>
              <w:t>指标</w:t>
            </w:r>
          </w:p>
        </w:tc>
        <w:tc>
          <w:tcPr>
            <w:tcW w:w="982" w:type="dxa"/>
            <w:vMerge w:val="restart"/>
            <w:vAlign w:val="center"/>
          </w:tcPr>
          <w:p>
            <w:pPr>
              <w:jc w:val="center"/>
              <w:rPr>
                <w:b/>
                <w:sz w:val="18"/>
              </w:rPr>
            </w:pPr>
            <w:r>
              <w:rPr>
                <w:rFonts w:hint="eastAsia"/>
                <w:b/>
                <w:sz w:val="18"/>
              </w:rPr>
              <w:t>主要</w:t>
            </w:r>
          </w:p>
          <w:p>
            <w:pPr>
              <w:jc w:val="center"/>
              <w:rPr>
                <w:b/>
                <w:sz w:val="18"/>
              </w:rPr>
            </w:pPr>
            <w:r>
              <w:rPr>
                <w:rFonts w:hint="eastAsia"/>
                <w:b/>
                <w:sz w:val="18"/>
              </w:rPr>
              <w:t>观测点</w:t>
            </w:r>
          </w:p>
        </w:tc>
        <w:tc>
          <w:tcPr>
            <w:tcW w:w="3088" w:type="dxa"/>
            <w:vMerge w:val="restart"/>
            <w:vAlign w:val="center"/>
          </w:tcPr>
          <w:p>
            <w:pPr>
              <w:jc w:val="center"/>
              <w:rPr>
                <w:b/>
                <w:sz w:val="18"/>
              </w:rPr>
            </w:pPr>
            <w:r>
              <w:rPr>
                <w:rFonts w:hint="eastAsia"/>
                <w:b/>
                <w:sz w:val="18"/>
              </w:rPr>
              <w:t>建设标准</w:t>
            </w:r>
          </w:p>
        </w:tc>
        <w:tc>
          <w:tcPr>
            <w:tcW w:w="661" w:type="dxa"/>
            <w:vMerge w:val="restart"/>
            <w:vAlign w:val="center"/>
          </w:tcPr>
          <w:p>
            <w:pPr>
              <w:jc w:val="center"/>
              <w:rPr>
                <w:b/>
                <w:sz w:val="18"/>
              </w:rPr>
            </w:pPr>
            <w:r>
              <w:rPr>
                <w:rFonts w:hint="eastAsia"/>
                <w:b/>
                <w:sz w:val="18"/>
              </w:rPr>
              <w:t>分值(M</w:t>
            </w:r>
            <w:r>
              <w:rPr>
                <w:rFonts w:hint="eastAsia"/>
                <w:b/>
                <w:sz w:val="18"/>
                <w:vertAlign w:val="subscript"/>
              </w:rPr>
              <w:t>i</w:t>
            </w:r>
            <w:r>
              <w:rPr>
                <w:rFonts w:hint="eastAsia"/>
                <w:b/>
                <w:sz w:val="18"/>
              </w:rPr>
              <w:t>)</w:t>
            </w:r>
          </w:p>
        </w:tc>
        <w:tc>
          <w:tcPr>
            <w:tcW w:w="2500" w:type="dxa"/>
            <w:gridSpan w:val="5"/>
            <w:tcBorders>
              <w:top w:val="single" w:color="auto" w:sz="4" w:space="0"/>
            </w:tcBorders>
            <w:vAlign w:val="center"/>
          </w:tcPr>
          <w:p>
            <w:pPr>
              <w:jc w:val="center"/>
              <w:rPr>
                <w:b/>
                <w:sz w:val="18"/>
              </w:rPr>
            </w:pPr>
            <w:r>
              <w:rPr>
                <w:rFonts w:hint="eastAsia"/>
                <w:b/>
                <w:sz w:val="18"/>
              </w:rPr>
              <w:t>评价等级（K</w:t>
            </w:r>
            <w:r>
              <w:rPr>
                <w:rFonts w:hint="eastAsia"/>
                <w:b/>
                <w:sz w:val="18"/>
                <w:vertAlign w:val="subscript"/>
              </w:rPr>
              <w:t>i</w:t>
            </w:r>
            <w:r>
              <w:rPr>
                <w:rFonts w:hint="eastAsia"/>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jc w:val="center"/>
        </w:trPr>
        <w:tc>
          <w:tcPr>
            <w:tcW w:w="709" w:type="dxa"/>
            <w:vMerge w:val="continue"/>
            <w:vAlign w:val="center"/>
          </w:tcPr>
          <w:p>
            <w:pPr>
              <w:jc w:val="center"/>
              <w:rPr>
                <w:b/>
                <w:sz w:val="18"/>
              </w:rPr>
            </w:pPr>
          </w:p>
        </w:tc>
        <w:tc>
          <w:tcPr>
            <w:tcW w:w="851" w:type="dxa"/>
            <w:vMerge w:val="continue"/>
            <w:vAlign w:val="center"/>
          </w:tcPr>
          <w:p>
            <w:pPr>
              <w:rPr>
                <w:b/>
                <w:sz w:val="18"/>
              </w:rPr>
            </w:pPr>
          </w:p>
        </w:tc>
        <w:tc>
          <w:tcPr>
            <w:tcW w:w="982" w:type="dxa"/>
            <w:vMerge w:val="continue"/>
            <w:vAlign w:val="center"/>
          </w:tcPr>
          <w:p>
            <w:pPr>
              <w:rPr>
                <w:b/>
                <w:sz w:val="18"/>
              </w:rPr>
            </w:pPr>
          </w:p>
        </w:tc>
        <w:tc>
          <w:tcPr>
            <w:tcW w:w="3088" w:type="dxa"/>
            <w:vMerge w:val="continue"/>
          </w:tcPr>
          <w:p>
            <w:pPr>
              <w:rPr>
                <w:b/>
                <w:sz w:val="18"/>
              </w:rPr>
            </w:pPr>
          </w:p>
        </w:tc>
        <w:tc>
          <w:tcPr>
            <w:tcW w:w="661" w:type="dxa"/>
            <w:vMerge w:val="continue"/>
            <w:vAlign w:val="center"/>
          </w:tcPr>
          <w:p>
            <w:pPr>
              <w:jc w:val="center"/>
              <w:rPr>
                <w:b/>
                <w:sz w:val="18"/>
              </w:rPr>
            </w:pPr>
          </w:p>
        </w:tc>
        <w:tc>
          <w:tcPr>
            <w:tcW w:w="500" w:type="dxa"/>
            <w:vAlign w:val="center"/>
          </w:tcPr>
          <w:p>
            <w:pPr>
              <w:jc w:val="center"/>
              <w:rPr>
                <w:b/>
                <w:sz w:val="18"/>
              </w:rPr>
            </w:pPr>
            <w:r>
              <w:rPr>
                <w:rFonts w:hint="eastAsia"/>
                <w:b/>
                <w:sz w:val="18"/>
              </w:rPr>
              <w:t>a</w:t>
            </w:r>
          </w:p>
        </w:tc>
        <w:tc>
          <w:tcPr>
            <w:tcW w:w="500" w:type="dxa"/>
            <w:vAlign w:val="center"/>
          </w:tcPr>
          <w:p>
            <w:pPr>
              <w:jc w:val="center"/>
              <w:rPr>
                <w:b/>
                <w:sz w:val="18"/>
              </w:rPr>
            </w:pPr>
            <w:r>
              <w:rPr>
                <w:rFonts w:hint="eastAsia"/>
                <w:b/>
                <w:sz w:val="18"/>
              </w:rPr>
              <w:t>b</w:t>
            </w:r>
          </w:p>
        </w:tc>
        <w:tc>
          <w:tcPr>
            <w:tcW w:w="500" w:type="dxa"/>
            <w:vAlign w:val="center"/>
          </w:tcPr>
          <w:p>
            <w:pPr>
              <w:jc w:val="center"/>
              <w:rPr>
                <w:b/>
                <w:sz w:val="18"/>
              </w:rPr>
            </w:pPr>
            <w:r>
              <w:rPr>
                <w:rFonts w:hint="eastAsia"/>
                <w:b/>
                <w:sz w:val="18"/>
              </w:rPr>
              <w:t>c</w:t>
            </w:r>
          </w:p>
        </w:tc>
        <w:tc>
          <w:tcPr>
            <w:tcW w:w="500" w:type="dxa"/>
            <w:vAlign w:val="center"/>
          </w:tcPr>
          <w:p>
            <w:pPr>
              <w:jc w:val="center"/>
              <w:rPr>
                <w:b/>
                <w:sz w:val="18"/>
              </w:rPr>
            </w:pPr>
            <w:r>
              <w:rPr>
                <w:rFonts w:hint="eastAsia"/>
                <w:b/>
                <w:sz w:val="18"/>
              </w:rPr>
              <w:t>d</w:t>
            </w:r>
          </w:p>
        </w:tc>
        <w:tc>
          <w:tcPr>
            <w:tcW w:w="500" w:type="dxa"/>
            <w:vAlign w:val="center"/>
          </w:tcPr>
          <w:p>
            <w:pPr>
              <w:jc w:val="center"/>
              <w:rPr>
                <w:b/>
                <w:sz w:val="18"/>
              </w:rPr>
            </w:pPr>
            <w:r>
              <w:rPr>
                <w:rFonts w:hint="eastAsia"/>
                <w:b/>
                <w:sz w:val="18"/>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 w:hRule="atLeast"/>
          <w:jc w:val="center"/>
        </w:trPr>
        <w:tc>
          <w:tcPr>
            <w:tcW w:w="709" w:type="dxa"/>
            <w:vMerge w:val="continue"/>
            <w:vAlign w:val="center"/>
          </w:tcPr>
          <w:p>
            <w:pPr>
              <w:jc w:val="center"/>
              <w:rPr>
                <w:b/>
                <w:sz w:val="18"/>
              </w:rPr>
            </w:pPr>
          </w:p>
        </w:tc>
        <w:tc>
          <w:tcPr>
            <w:tcW w:w="851" w:type="dxa"/>
            <w:vMerge w:val="continue"/>
            <w:vAlign w:val="center"/>
          </w:tcPr>
          <w:p>
            <w:pPr>
              <w:rPr>
                <w:b/>
                <w:sz w:val="18"/>
              </w:rPr>
            </w:pPr>
          </w:p>
        </w:tc>
        <w:tc>
          <w:tcPr>
            <w:tcW w:w="982" w:type="dxa"/>
            <w:vMerge w:val="continue"/>
            <w:vAlign w:val="center"/>
          </w:tcPr>
          <w:p>
            <w:pPr>
              <w:rPr>
                <w:b/>
                <w:sz w:val="18"/>
              </w:rPr>
            </w:pPr>
          </w:p>
        </w:tc>
        <w:tc>
          <w:tcPr>
            <w:tcW w:w="3088" w:type="dxa"/>
            <w:vMerge w:val="continue"/>
          </w:tcPr>
          <w:p>
            <w:pPr>
              <w:rPr>
                <w:b/>
                <w:sz w:val="18"/>
              </w:rPr>
            </w:pPr>
          </w:p>
        </w:tc>
        <w:tc>
          <w:tcPr>
            <w:tcW w:w="661" w:type="dxa"/>
            <w:vMerge w:val="continue"/>
            <w:vAlign w:val="center"/>
          </w:tcPr>
          <w:p>
            <w:pPr>
              <w:jc w:val="center"/>
              <w:rPr>
                <w:b/>
                <w:sz w:val="18"/>
              </w:rPr>
            </w:pPr>
          </w:p>
        </w:tc>
        <w:tc>
          <w:tcPr>
            <w:tcW w:w="500" w:type="dxa"/>
            <w:vAlign w:val="center"/>
          </w:tcPr>
          <w:p>
            <w:pPr>
              <w:jc w:val="center"/>
              <w:rPr>
                <w:b/>
                <w:sz w:val="18"/>
              </w:rPr>
            </w:pPr>
            <w:r>
              <w:rPr>
                <w:rFonts w:hint="eastAsia"/>
                <w:b/>
                <w:sz w:val="18"/>
              </w:rPr>
              <w:t>1.0</w:t>
            </w:r>
          </w:p>
        </w:tc>
        <w:tc>
          <w:tcPr>
            <w:tcW w:w="500" w:type="dxa"/>
            <w:vAlign w:val="center"/>
          </w:tcPr>
          <w:p>
            <w:pPr>
              <w:jc w:val="center"/>
              <w:rPr>
                <w:b/>
                <w:sz w:val="18"/>
              </w:rPr>
            </w:pPr>
            <w:r>
              <w:rPr>
                <w:rFonts w:hint="eastAsia"/>
                <w:b/>
                <w:sz w:val="18"/>
              </w:rPr>
              <w:t>0.8</w:t>
            </w:r>
          </w:p>
        </w:tc>
        <w:tc>
          <w:tcPr>
            <w:tcW w:w="500" w:type="dxa"/>
            <w:vAlign w:val="center"/>
          </w:tcPr>
          <w:p>
            <w:pPr>
              <w:jc w:val="center"/>
              <w:rPr>
                <w:b/>
                <w:sz w:val="18"/>
              </w:rPr>
            </w:pPr>
            <w:r>
              <w:rPr>
                <w:rFonts w:hint="eastAsia"/>
                <w:b/>
                <w:sz w:val="18"/>
              </w:rPr>
              <w:t>0.6</w:t>
            </w:r>
          </w:p>
        </w:tc>
        <w:tc>
          <w:tcPr>
            <w:tcW w:w="500" w:type="dxa"/>
            <w:vAlign w:val="center"/>
          </w:tcPr>
          <w:p>
            <w:pPr>
              <w:jc w:val="center"/>
              <w:rPr>
                <w:b/>
                <w:sz w:val="18"/>
              </w:rPr>
            </w:pPr>
            <w:r>
              <w:rPr>
                <w:rFonts w:hint="eastAsia"/>
                <w:b/>
                <w:sz w:val="18"/>
              </w:rPr>
              <w:t>0.4</w:t>
            </w:r>
          </w:p>
        </w:tc>
        <w:tc>
          <w:tcPr>
            <w:tcW w:w="500" w:type="dxa"/>
            <w:vAlign w:val="center"/>
          </w:tcPr>
          <w:p>
            <w:pPr>
              <w:jc w:val="center"/>
              <w:rPr>
                <w:b/>
                <w:sz w:val="18"/>
              </w:rPr>
            </w:pPr>
            <w:r>
              <w:rPr>
                <w:rFonts w:hint="eastAsia"/>
                <w:b/>
                <w:sz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restart"/>
            <w:vAlign w:val="center"/>
          </w:tcPr>
          <w:p>
            <w:pPr>
              <w:jc w:val="center"/>
              <w:rPr>
                <w:sz w:val="18"/>
              </w:rPr>
            </w:pPr>
            <w:r>
              <w:rPr>
                <w:rFonts w:hint="eastAsia"/>
                <w:sz w:val="18"/>
              </w:rPr>
              <w:t>混合教学设计65分</w:t>
            </w:r>
          </w:p>
        </w:tc>
        <w:tc>
          <w:tcPr>
            <w:tcW w:w="851" w:type="dxa"/>
            <w:vMerge w:val="restart"/>
            <w:vAlign w:val="center"/>
          </w:tcPr>
          <w:p>
            <w:pPr>
              <w:spacing w:line="280" w:lineRule="exact"/>
              <w:jc w:val="right"/>
              <w:rPr>
                <w:sz w:val="18"/>
                <w:szCs w:val="18"/>
              </w:rPr>
            </w:pPr>
            <w:r>
              <w:rPr>
                <w:rFonts w:hint="eastAsia"/>
                <w:sz w:val="18"/>
                <w:szCs w:val="18"/>
              </w:rPr>
              <w:t>1-3教学活动</w:t>
            </w:r>
          </w:p>
          <w:p>
            <w:pPr>
              <w:spacing w:line="280" w:lineRule="exact"/>
              <w:ind w:left="360" w:hanging="360" w:hangingChars="200"/>
              <w:jc w:val="right"/>
              <w:rPr>
                <w:sz w:val="18"/>
              </w:rPr>
            </w:pPr>
            <w:r>
              <w:rPr>
                <w:rFonts w:hint="eastAsia"/>
                <w:sz w:val="18"/>
                <w:szCs w:val="18"/>
              </w:rPr>
              <w:t>30分</w:t>
            </w:r>
          </w:p>
        </w:tc>
        <w:tc>
          <w:tcPr>
            <w:tcW w:w="982" w:type="dxa"/>
            <w:vAlign w:val="center"/>
          </w:tcPr>
          <w:p>
            <w:pPr>
              <w:spacing w:line="280" w:lineRule="exact"/>
              <w:rPr>
                <w:sz w:val="18"/>
                <w:szCs w:val="18"/>
              </w:rPr>
            </w:pPr>
            <w:r>
              <w:rPr>
                <w:rFonts w:hint="eastAsia"/>
                <w:sz w:val="18"/>
                <w:szCs w:val="18"/>
              </w:rPr>
              <w:t>教学邮箱</w:t>
            </w:r>
          </w:p>
        </w:tc>
        <w:tc>
          <w:tcPr>
            <w:tcW w:w="3088" w:type="dxa"/>
            <w:vAlign w:val="center"/>
          </w:tcPr>
          <w:p>
            <w:pPr>
              <w:spacing w:line="280" w:lineRule="exact"/>
              <w:rPr>
                <w:sz w:val="18"/>
                <w:szCs w:val="18"/>
              </w:rPr>
            </w:pPr>
            <w:r>
              <w:rPr>
                <w:rFonts w:hint="eastAsia"/>
                <w:sz w:val="18"/>
                <w:szCs w:val="18"/>
              </w:rPr>
              <w:t>通过教学邮箱将通知、学习资源等发给学生。</w:t>
            </w:r>
          </w:p>
        </w:tc>
        <w:tc>
          <w:tcPr>
            <w:tcW w:w="661" w:type="dxa"/>
            <w:vAlign w:val="center"/>
          </w:tcPr>
          <w:p>
            <w:pPr>
              <w:pStyle w:val="21"/>
              <w:jc w:val="center"/>
              <w:rPr>
                <w:sz w:val="18"/>
                <w:szCs w:val="18"/>
              </w:rPr>
            </w:pPr>
            <w:r>
              <w:rPr>
                <w:sz w:val="18"/>
                <w:szCs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jc w:val="right"/>
              <w:rPr>
                <w:sz w:val="18"/>
                <w:szCs w:val="18"/>
              </w:rPr>
            </w:pPr>
          </w:p>
        </w:tc>
        <w:tc>
          <w:tcPr>
            <w:tcW w:w="982" w:type="dxa"/>
            <w:vAlign w:val="center"/>
          </w:tcPr>
          <w:p>
            <w:pPr>
              <w:spacing w:line="280" w:lineRule="exact"/>
              <w:rPr>
                <w:sz w:val="18"/>
                <w:szCs w:val="18"/>
              </w:rPr>
            </w:pPr>
            <w:r>
              <w:rPr>
                <w:rFonts w:hint="eastAsia"/>
                <w:sz w:val="18"/>
                <w:szCs w:val="18"/>
              </w:rPr>
              <w:t>教学笔记</w:t>
            </w:r>
          </w:p>
        </w:tc>
        <w:tc>
          <w:tcPr>
            <w:tcW w:w="3088" w:type="dxa"/>
            <w:vAlign w:val="center"/>
          </w:tcPr>
          <w:p>
            <w:pPr>
              <w:spacing w:line="280" w:lineRule="exact"/>
              <w:rPr>
                <w:sz w:val="18"/>
                <w:szCs w:val="18"/>
              </w:rPr>
            </w:pPr>
            <w:r>
              <w:rPr>
                <w:rFonts w:hint="eastAsia"/>
                <w:sz w:val="18"/>
                <w:szCs w:val="18"/>
              </w:rPr>
              <w:t>利用教学笔记让学生在学习过程中及时整理教学与学习资料。</w:t>
            </w:r>
          </w:p>
        </w:tc>
        <w:tc>
          <w:tcPr>
            <w:tcW w:w="661" w:type="dxa"/>
            <w:vAlign w:val="center"/>
          </w:tcPr>
          <w:p>
            <w:pPr>
              <w:pStyle w:val="21"/>
              <w:jc w:val="center"/>
              <w:rPr>
                <w:sz w:val="18"/>
                <w:szCs w:val="18"/>
              </w:rPr>
            </w:pPr>
            <w:r>
              <w:rPr>
                <w:sz w:val="18"/>
                <w:szCs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个人资源</w:t>
            </w:r>
          </w:p>
        </w:tc>
        <w:tc>
          <w:tcPr>
            <w:tcW w:w="3088" w:type="dxa"/>
            <w:vAlign w:val="center"/>
          </w:tcPr>
          <w:p>
            <w:pPr>
              <w:spacing w:line="280" w:lineRule="exact"/>
              <w:rPr>
                <w:sz w:val="18"/>
                <w:szCs w:val="18"/>
              </w:rPr>
            </w:pPr>
            <w:r>
              <w:rPr>
                <w:rFonts w:hint="eastAsia"/>
                <w:sz w:val="18"/>
                <w:szCs w:val="18"/>
              </w:rPr>
              <w:t>创建课程相关资源，也可以将其他的资源分享到个人资源中。</w:t>
            </w:r>
            <w:r>
              <w:rPr>
                <w:sz w:val="18"/>
                <w:szCs w:val="18"/>
              </w:rPr>
              <w:t xml:space="preserve"> </w:t>
            </w:r>
          </w:p>
        </w:tc>
        <w:tc>
          <w:tcPr>
            <w:tcW w:w="661" w:type="dxa"/>
            <w:vAlign w:val="center"/>
          </w:tcPr>
          <w:p>
            <w:pPr>
              <w:pStyle w:val="21"/>
              <w:jc w:val="center"/>
              <w:rPr>
                <w:sz w:val="18"/>
                <w:szCs w:val="18"/>
              </w:rPr>
            </w:pPr>
            <w:r>
              <w:rPr>
                <w:sz w:val="18"/>
                <w:szCs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课程作业</w:t>
            </w:r>
          </w:p>
        </w:tc>
        <w:tc>
          <w:tcPr>
            <w:tcW w:w="3088" w:type="dxa"/>
            <w:vAlign w:val="center"/>
          </w:tcPr>
          <w:p>
            <w:pPr>
              <w:spacing w:line="280" w:lineRule="exact"/>
              <w:rPr>
                <w:sz w:val="18"/>
                <w:szCs w:val="18"/>
              </w:rPr>
            </w:pPr>
            <w:r>
              <w:rPr>
                <w:rFonts w:hint="eastAsia"/>
                <w:sz w:val="18"/>
                <w:szCs w:val="18"/>
              </w:rPr>
              <w:t>每个章节（学习单元）添加相关在线课程作业（包括思考题）。</w:t>
            </w:r>
            <w:r>
              <w:rPr>
                <w:sz w:val="18"/>
                <w:szCs w:val="18"/>
              </w:rPr>
              <w:t xml:space="preserve"> </w:t>
            </w:r>
          </w:p>
        </w:tc>
        <w:tc>
          <w:tcPr>
            <w:tcW w:w="661" w:type="dxa"/>
            <w:vAlign w:val="center"/>
          </w:tcPr>
          <w:p>
            <w:pPr>
              <w:pStyle w:val="21"/>
              <w:jc w:val="center"/>
              <w:rPr>
                <w:sz w:val="18"/>
                <w:szCs w:val="18"/>
              </w:rPr>
            </w:pPr>
            <w:r>
              <w:rPr>
                <w:sz w:val="18"/>
                <w:szCs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试题试卷库</w:t>
            </w:r>
          </w:p>
        </w:tc>
        <w:tc>
          <w:tcPr>
            <w:tcW w:w="3088" w:type="dxa"/>
            <w:vAlign w:val="center"/>
          </w:tcPr>
          <w:p>
            <w:pPr>
              <w:spacing w:line="280" w:lineRule="exact"/>
              <w:rPr>
                <w:sz w:val="18"/>
                <w:szCs w:val="18"/>
              </w:rPr>
            </w:pPr>
            <w:r>
              <w:rPr>
                <w:rFonts w:hint="eastAsia"/>
                <w:sz w:val="18"/>
                <w:szCs w:val="18"/>
              </w:rPr>
              <w:t>添加课程相应的试题试卷。</w:t>
            </w:r>
            <w:r>
              <w:rPr>
                <w:sz w:val="18"/>
                <w:szCs w:val="18"/>
              </w:rPr>
              <w:t xml:space="preserve"> </w:t>
            </w:r>
          </w:p>
        </w:tc>
        <w:tc>
          <w:tcPr>
            <w:tcW w:w="661" w:type="dxa"/>
            <w:vAlign w:val="center"/>
          </w:tcPr>
          <w:p>
            <w:pPr>
              <w:pStyle w:val="21"/>
              <w:jc w:val="center"/>
              <w:rPr>
                <w:sz w:val="18"/>
                <w:szCs w:val="18"/>
              </w:rPr>
            </w:pPr>
            <w:r>
              <w:rPr>
                <w:sz w:val="18"/>
                <w:szCs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在线测试</w:t>
            </w:r>
          </w:p>
        </w:tc>
        <w:tc>
          <w:tcPr>
            <w:tcW w:w="3088" w:type="dxa"/>
            <w:vAlign w:val="center"/>
          </w:tcPr>
          <w:p>
            <w:pPr>
              <w:spacing w:line="280" w:lineRule="exact"/>
              <w:rPr>
                <w:sz w:val="18"/>
                <w:szCs w:val="18"/>
              </w:rPr>
            </w:pPr>
            <w:r>
              <w:rPr>
                <w:rFonts w:hint="eastAsia"/>
                <w:sz w:val="18"/>
                <w:szCs w:val="18"/>
              </w:rPr>
              <w:t>每个章节（学习单元）添加必要的在线测试。</w:t>
            </w:r>
            <w:r>
              <w:rPr>
                <w:sz w:val="18"/>
                <w:szCs w:val="18"/>
              </w:rPr>
              <w:t xml:space="preserve"> </w:t>
            </w:r>
          </w:p>
        </w:tc>
        <w:tc>
          <w:tcPr>
            <w:tcW w:w="661" w:type="dxa"/>
            <w:vAlign w:val="center"/>
          </w:tcPr>
          <w:p>
            <w:pPr>
              <w:pStyle w:val="21"/>
              <w:jc w:val="center"/>
              <w:rPr>
                <w:sz w:val="18"/>
                <w:szCs w:val="18"/>
              </w:rPr>
            </w:pPr>
            <w:r>
              <w:rPr>
                <w:sz w:val="18"/>
                <w:szCs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ind w:left="360" w:hanging="360" w:hangingChars="200"/>
              <w:rPr>
                <w:sz w:val="18"/>
              </w:rPr>
            </w:pPr>
          </w:p>
        </w:tc>
        <w:tc>
          <w:tcPr>
            <w:tcW w:w="982" w:type="dxa"/>
            <w:vAlign w:val="center"/>
          </w:tcPr>
          <w:p>
            <w:pPr>
              <w:spacing w:line="280" w:lineRule="exact"/>
              <w:rPr>
                <w:sz w:val="18"/>
                <w:szCs w:val="18"/>
              </w:rPr>
            </w:pPr>
            <w:r>
              <w:rPr>
                <w:rFonts w:hint="eastAsia"/>
                <w:sz w:val="18"/>
                <w:szCs w:val="18"/>
              </w:rPr>
              <w:t>播课单元</w:t>
            </w:r>
          </w:p>
        </w:tc>
        <w:tc>
          <w:tcPr>
            <w:tcW w:w="3088" w:type="dxa"/>
            <w:vAlign w:val="center"/>
          </w:tcPr>
          <w:p>
            <w:pPr>
              <w:spacing w:line="280" w:lineRule="exact"/>
              <w:rPr>
                <w:sz w:val="18"/>
                <w:szCs w:val="18"/>
              </w:rPr>
            </w:pPr>
            <w:r>
              <w:rPr>
                <w:rFonts w:hint="eastAsia"/>
                <w:sz w:val="18"/>
                <w:szCs w:val="18"/>
              </w:rPr>
              <w:t>为课程添加播课单元。</w:t>
            </w:r>
            <w:r>
              <w:rPr>
                <w:sz w:val="18"/>
                <w:szCs w:val="18"/>
              </w:rPr>
              <w:t xml:space="preserve"> </w:t>
            </w:r>
          </w:p>
        </w:tc>
        <w:tc>
          <w:tcPr>
            <w:tcW w:w="661" w:type="dxa"/>
            <w:vAlign w:val="center"/>
          </w:tcPr>
          <w:p>
            <w:pPr>
              <w:pStyle w:val="21"/>
              <w:jc w:val="center"/>
              <w:rPr>
                <w:sz w:val="18"/>
                <w:szCs w:val="18"/>
              </w:rPr>
            </w:pPr>
            <w:r>
              <w:rPr>
                <w:sz w:val="18"/>
                <w:szCs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restart"/>
            <w:vAlign w:val="center"/>
          </w:tcPr>
          <w:p>
            <w:pPr>
              <w:spacing w:line="240" w:lineRule="exact"/>
              <w:jc w:val="center"/>
              <w:rPr>
                <w:sz w:val="18"/>
              </w:rPr>
            </w:pPr>
            <w:r>
              <w:rPr>
                <w:rFonts w:hint="eastAsia"/>
                <w:sz w:val="18"/>
              </w:rPr>
              <w:t>混合教学应用20分</w:t>
            </w:r>
          </w:p>
        </w:tc>
        <w:tc>
          <w:tcPr>
            <w:tcW w:w="851" w:type="dxa"/>
            <w:vMerge w:val="restart"/>
            <w:vAlign w:val="center"/>
          </w:tcPr>
          <w:p>
            <w:pPr>
              <w:spacing w:line="280" w:lineRule="exact"/>
              <w:jc w:val="right"/>
              <w:rPr>
                <w:sz w:val="18"/>
                <w:szCs w:val="18"/>
              </w:rPr>
            </w:pPr>
            <w:r>
              <w:rPr>
                <w:rFonts w:hint="eastAsia"/>
                <w:sz w:val="18"/>
                <w:szCs w:val="18"/>
              </w:rPr>
              <w:t>2-1教学应用</w:t>
            </w:r>
          </w:p>
          <w:p>
            <w:pPr>
              <w:spacing w:line="280" w:lineRule="exact"/>
              <w:jc w:val="right"/>
              <w:rPr>
                <w:sz w:val="18"/>
                <w:szCs w:val="18"/>
              </w:rPr>
            </w:pPr>
            <w:r>
              <w:rPr>
                <w:rFonts w:hint="eastAsia"/>
                <w:sz w:val="18"/>
                <w:szCs w:val="18"/>
              </w:rPr>
              <w:t>10分</w:t>
            </w:r>
          </w:p>
        </w:tc>
        <w:tc>
          <w:tcPr>
            <w:tcW w:w="982" w:type="dxa"/>
            <w:vAlign w:val="center"/>
          </w:tcPr>
          <w:p>
            <w:pPr>
              <w:spacing w:line="280" w:lineRule="exact"/>
              <w:rPr>
                <w:sz w:val="18"/>
                <w:szCs w:val="18"/>
              </w:rPr>
            </w:pPr>
            <w:r>
              <w:rPr>
                <w:rFonts w:hint="eastAsia"/>
                <w:sz w:val="18"/>
                <w:szCs w:val="18"/>
              </w:rPr>
              <w:t>教学问题解决</w:t>
            </w:r>
          </w:p>
        </w:tc>
        <w:tc>
          <w:tcPr>
            <w:tcW w:w="3088" w:type="dxa"/>
            <w:vAlign w:val="center"/>
          </w:tcPr>
          <w:p>
            <w:pPr>
              <w:spacing w:line="280" w:lineRule="exact"/>
              <w:rPr>
                <w:sz w:val="18"/>
                <w:szCs w:val="18"/>
              </w:rPr>
            </w:pPr>
            <w:r>
              <w:rPr>
                <w:rFonts w:hint="eastAsia"/>
                <w:sz w:val="18"/>
                <w:szCs w:val="18"/>
              </w:rPr>
              <w:t>所采用混合教学符合教学实际，有需要明确解决的教学问题，而非为了使用而使用。</w:t>
            </w:r>
            <w:r>
              <w:rPr>
                <w:sz w:val="18"/>
                <w:szCs w:val="18"/>
              </w:rPr>
              <w:t xml:space="preserve"> </w:t>
            </w:r>
          </w:p>
        </w:tc>
        <w:tc>
          <w:tcPr>
            <w:tcW w:w="661" w:type="dxa"/>
            <w:vAlign w:val="center"/>
          </w:tcPr>
          <w:p>
            <w:pPr>
              <w:jc w:val="center"/>
              <w:rPr>
                <w:sz w:val="18"/>
              </w:rPr>
            </w:pPr>
            <w:r>
              <w:rPr>
                <w:rFonts w:hint="eastAsia"/>
                <w:sz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jc w:val="right"/>
              <w:rPr>
                <w:sz w:val="18"/>
                <w:szCs w:val="18"/>
              </w:rPr>
            </w:pPr>
          </w:p>
        </w:tc>
        <w:tc>
          <w:tcPr>
            <w:tcW w:w="982"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教学模式</w:t>
            </w:r>
          </w:p>
        </w:tc>
        <w:tc>
          <w:tcPr>
            <w:tcW w:w="3088"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有比较明确的、适合教学问题解决的混合教学模式设计。</w:t>
            </w:r>
            <w:r>
              <w:rPr>
                <w:rFonts w:ascii="Calibri" w:hAnsi="Calibri" w:cs="Times New Roman"/>
                <w:color w:val="auto"/>
                <w:kern w:val="2"/>
                <w:sz w:val="18"/>
                <w:szCs w:val="18"/>
              </w:rPr>
              <w:t xml:space="preserve"> </w:t>
            </w:r>
          </w:p>
        </w:tc>
        <w:tc>
          <w:tcPr>
            <w:tcW w:w="661" w:type="dxa"/>
            <w:vAlign w:val="center"/>
          </w:tcPr>
          <w:p>
            <w:pPr>
              <w:jc w:val="center"/>
              <w:rPr>
                <w:sz w:val="18"/>
              </w:rPr>
            </w:pPr>
            <w:r>
              <w:rPr>
                <w:rFonts w:hint="eastAsia"/>
                <w:sz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restart"/>
            <w:vAlign w:val="center"/>
          </w:tcPr>
          <w:p>
            <w:pPr>
              <w:spacing w:line="280" w:lineRule="exact"/>
              <w:jc w:val="right"/>
              <w:rPr>
                <w:sz w:val="18"/>
                <w:szCs w:val="18"/>
              </w:rPr>
            </w:pPr>
            <w:r>
              <w:rPr>
                <w:rFonts w:hint="eastAsia"/>
                <w:sz w:val="18"/>
                <w:szCs w:val="18"/>
              </w:rPr>
              <w:t>2-2混合应用</w:t>
            </w:r>
          </w:p>
          <w:p>
            <w:pPr>
              <w:spacing w:line="280" w:lineRule="exact"/>
              <w:jc w:val="right"/>
              <w:rPr>
                <w:sz w:val="18"/>
                <w:szCs w:val="18"/>
              </w:rPr>
            </w:pPr>
            <w:r>
              <w:rPr>
                <w:rFonts w:hint="eastAsia"/>
                <w:sz w:val="18"/>
                <w:szCs w:val="18"/>
              </w:rPr>
              <w:t>10分</w:t>
            </w:r>
          </w:p>
        </w:tc>
        <w:tc>
          <w:tcPr>
            <w:tcW w:w="982" w:type="dxa"/>
            <w:vAlign w:val="center"/>
          </w:tcPr>
          <w:p>
            <w:pPr>
              <w:spacing w:line="280" w:lineRule="exact"/>
              <w:rPr>
                <w:sz w:val="18"/>
                <w:szCs w:val="18"/>
              </w:rPr>
            </w:pPr>
            <w:r>
              <w:rPr>
                <w:rFonts w:hint="eastAsia"/>
                <w:sz w:val="18"/>
                <w:szCs w:val="18"/>
              </w:rPr>
              <w:t>线上线下优势发挥</w:t>
            </w:r>
          </w:p>
        </w:tc>
        <w:tc>
          <w:tcPr>
            <w:tcW w:w="3088" w:type="dxa"/>
            <w:vAlign w:val="center"/>
          </w:tcPr>
          <w:p>
            <w:pPr>
              <w:spacing w:line="280" w:lineRule="exact"/>
              <w:rPr>
                <w:sz w:val="18"/>
                <w:szCs w:val="18"/>
              </w:rPr>
            </w:pPr>
            <w:r>
              <w:rPr>
                <w:rFonts w:hint="eastAsia"/>
                <w:sz w:val="18"/>
                <w:szCs w:val="18"/>
              </w:rPr>
              <w:t>将线上教学和线下教学有效结合，并充分发挥其各自优势。</w:t>
            </w:r>
            <w:r>
              <w:rPr>
                <w:sz w:val="18"/>
                <w:szCs w:val="18"/>
              </w:rPr>
              <w:t xml:space="preserve"> </w:t>
            </w:r>
          </w:p>
        </w:tc>
        <w:tc>
          <w:tcPr>
            <w:tcW w:w="661" w:type="dxa"/>
            <w:vAlign w:val="center"/>
          </w:tcPr>
          <w:p>
            <w:pPr>
              <w:jc w:val="center"/>
              <w:rPr>
                <w:sz w:val="18"/>
              </w:rPr>
            </w:pPr>
            <w:r>
              <w:rPr>
                <w:rFonts w:hint="eastAsia"/>
                <w:sz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rPr>
                <w:sz w:val="18"/>
                <w:szCs w:val="18"/>
              </w:rPr>
            </w:pPr>
          </w:p>
        </w:tc>
        <w:tc>
          <w:tcPr>
            <w:tcW w:w="982"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线上线下联结</w:t>
            </w:r>
          </w:p>
        </w:tc>
        <w:tc>
          <w:tcPr>
            <w:tcW w:w="3088"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线上线下教学之间有效联结转换，有评价信息的反馈环节。</w:t>
            </w:r>
            <w:r>
              <w:rPr>
                <w:rFonts w:ascii="Calibri" w:hAnsi="Calibri" w:cs="Times New Roman"/>
                <w:color w:val="auto"/>
                <w:kern w:val="2"/>
                <w:sz w:val="18"/>
                <w:szCs w:val="18"/>
              </w:rPr>
              <w:t xml:space="preserve"> </w:t>
            </w:r>
          </w:p>
        </w:tc>
        <w:tc>
          <w:tcPr>
            <w:tcW w:w="661" w:type="dxa"/>
            <w:vAlign w:val="center"/>
          </w:tcPr>
          <w:p>
            <w:pPr>
              <w:jc w:val="center"/>
              <w:rPr>
                <w:sz w:val="18"/>
              </w:rPr>
            </w:pPr>
            <w:r>
              <w:rPr>
                <w:rFonts w:hint="eastAsia"/>
                <w:sz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restart"/>
            <w:vAlign w:val="center"/>
          </w:tcPr>
          <w:p>
            <w:pPr>
              <w:spacing w:line="240" w:lineRule="exact"/>
              <w:jc w:val="center"/>
              <w:rPr>
                <w:sz w:val="18"/>
              </w:rPr>
            </w:pPr>
            <w:r>
              <w:rPr>
                <w:rFonts w:hint="eastAsia"/>
                <w:sz w:val="18"/>
              </w:rPr>
              <w:t>混合教学效果15分</w:t>
            </w:r>
          </w:p>
        </w:tc>
        <w:tc>
          <w:tcPr>
            <w:tcW w:w="851" w:type="dxa"/>
            <w:vMerge w:val="restart"/>
            <w:vAlign w:val="center"/>
          </w:tcPr>
          <w:p>
            <w:pPr>
              <w:spacing w:line="280" w:lineRule="exact"/>
              <w:jc w:val="right"/>
              <w:rPr>
                <w:sz w:val="18"/>
                <w:szCs w:val="18"/>
              </w:rPr>
            </w:pPr>
            <w:r>
              <w:rPr>
                <w:rFonts w:hint="eastAsia"/>
                <w:sz w:val="18"/>
                <w:szCs w:val="18"/>
              </w:rPr>
              <w:t>3-1学习过程跟踪评价</w:t>
            </w:r>
          </w:p>
          <w:p>
            <w:pPr>
              <w:spacing w:line="280" w:lineRule="exact"/>
              <w:jc w:val="right"/>
              <w:rPr>
                <w:sz w:val="18"/>
                <w:szCs w:val="18"/>
              </w:rPr>
            </w:pPr>
            <w:r>
              <w:rPr>
                <w:rFonts w:hint="eastAsia"/>
                <w:sz w:val="18"/>
                <w:szCs w:val="18"/>
              </w:rPr>
              <w:t>9分</w:t>
            </w:r>
          </w:p>
        </w:tc>
        <w:tc>
          <w:tcPr>
            <w:tcW w:w="982" w:type="dxa"/>
            <w:vAlign w:val="center"/>
          </w:tcPr>
          <w:p>
            <w:pPr>
              <w:spacing w:line="280" w:lineRule="exact"/>
              <w:rPr>
                <w:sz w:val="18"/>
                <w:szCs w:val="18"/>
              </w:rPr>
            </w:pPr>
            <w:r>
              <w:rPr>
                <w:rFonts w:hint="eastAsia"/>
                <w:sz w:val="18"/>
                <w:szCs w:val="18"/>
              </w:rPr>
              <w:t>学生在线时长</w:t>
            </w:r>
          </w:p>
        </w:tc>
        <w:tc>
          <w:tcPr>
            <w:tcW w:w="3088" w:type="dxa"/>
            <w:vAlign w:val="center"/>
          </w:tcPr>
          <w:p>
            <w:pPr>
              <w:spacing w:line="280" w:lineRule="exact"/>
              <w:rPr>
                <w:sz w:val="18"/>
                <w:szCs w:val="18"/>
              </w:rPr>
            </w:pPr>
            <w:r>
              <w:rPr>
                <w:rFonts w:hint="eastAsia"/>
                <w:sz w:val="18"/>
                <w:szCs w:val="18"/>
              </w:rPr>
              <w:t>有相应激励措施，使学生乐于在线学习，平均在线学习时长不低于在线课程计划的课时时长。</w:t>
            </w:r>
            <w:r>
              <w:rPr>
                <w:sz w:val="18"/>
                <w:szCs w:val="18"/>
              </w:rPr>
              <w:t xml:space="preserve"> </w:t>
            </w:r>
          </w:p>
        </w:tc>
        <w:tc>
          <w:tcPr>
            <w:tcW w:w="661" w:type="dxa"/>
            <w:vAlign w:val="center"/>
          </w:tcPr>
          <w:p>
            <w:pPr>
              <w:jc w:val="center"/>
              <w:rPr>
                <w:sz w:val="18"/>
              </w:rPr>
            </w:pPr>
            <w:r>
              <w:rPr>
                <w:rFonts w:hint="eastAsia"/>
                <w:sz w:val="18"/>
              </w:rPr>
              <w:t>4</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rPr>
                <w:sz w:val="18"/>
                <w:szCs w:val="18"/>
              </w:rPr>
            </w:pPr>
          </w:p>
        </w:tc>
        <w:tc>
          <w:tcPr>
            <w:tcW w:w="982"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学生线上表现</w:t>
            </w:r>
          </w:p>
        </w:tc>
        <w:tc>
          <w:tcPr>
            <w:tcW w:w="3088"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积极参与在线讨论，发帖量和回帖量不低于全班学生人数。</w:t>
            </w:r>
            <w:r>
              <w:rPr>
                <w:rFonts w:ascii="Calibri" w:hAnsi="Calibri" w:cs="Times New Roman"/>
                <w:color w:val="auto"/>
                <w:kern w:val="2"/>
                <w:sz w:val="18"/>
                <w:szCs w:val="18"/>
              </w:rPr>
              <w:t xml:space="preserve"> </w:t>
            </w:r>
          </w:p>
        </w:tc>
        <w:tc>
          <w:tcPr>
            <w:tcW w:w="661" w:type="dxa"/>
            <w:vAlign w:val="center"/>
          </w:tcPr>
          <w:p>
            <w:pPr>
              <w:jc w:val="center"/>
              <w:rPr>
                <w:sz w:val="18"/>
              </w:rPr>
            </w:pPr>
            <w:r>
              <w:rPr>
                <w:rFonts w:hint="eastAsia"/>
                <w:sz w:val="18"/>
              </w:rPr>
              <w:t>5</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restart"/>
            <w:vAlign w:val="center"/>
          </w:tcPr>
          <w:p>
            <w:pPr>
              <w:spacing w:line="280" w:lineRule="exact"/>
              <w:jc w:val="right"/>
              <w:rPr>
                <w:sz w:val="18"/>
                <w:szCs w:val="18"/>
              </w:rPr>
            </w:pPr>
            <w:r>
              <w:rPr>
                <w:rFonts w:hint="eastAsia"/>
                <w:sz w:val="18"/>
                <w:szCs w:val="18"/>
              </w:rPr>
              <w:t>3-2学习效果问卷评价</w:t>
            </w:r>
          </w:p>
          <w:p>
            <w:pPr>
              <w:spacing w:line="280" w:lineRule="exact"/>
              <w:jc w:val="right"/>
              <w:rPr>
                <w:sz w:val="18"/>
                <w:szCs w:val="18"/>
              </w:rPr>
            </w:pPr>
            <w:r>
              <w:rPr>
                <w:rFonts w:hint="eastAsia"/>
                <w:sz w:val="18"/>
                <w:szCs w:val="18"/>
              </w:rPr>
              <w:t>6分</w:t>
            </w:r>
          </w:p>
        </w:tc>
        <w:tc>
          <w:tcPr>
            <w:tcW w:w="982"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在线调查问卷</w:t>
            </w:r>
          </w:p>
        </w:tc>
        <w:tc>
          <w:tcPr>
            <w:tcW w:w="3088"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有关教学效果的在线问卷反馈效果积极正面。</w:t>
            </w:r>
            <w:r>
              <w:rPr>
                <w:rFonts w:ascii="Calibri" w:hAnsi="Calibri" w:cs="Times New Roman"/>
                <w:color w:val="auto"/>
                <w:kern w:val="2"/>
                <w:sz w:val="18"/>
                <w:szCs w:val="18"/>
              </w:rPr>
              <w:t xml:space="preserve"> </w:t>
            </w:r>
          </w:p>
        </w:tc>
        <w:tc>
          <w:tcPr>
            <w:tcW w:w="661" w:type="dxa"/>
            <w:vAlign w:val="center"/>
          </w:tcPr>
          <w:p>
            <w:pPr>
              <w:jc w:val="center"/>
              <w:rPr>
                <w:sz w:val="18"/>
              </w:rPr>
            </w:pPr>
            <w:r>
              <w:rPr>
                <w:rFonts w:hint="eastAsia"/>
                <w:sz w:val="18"/>
              </w:rPr>
              <w:t>4</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09" w:type="dxa"/>
            <w:vMerge w:val="continue"/>
            <w:vAlign w:val="center"/>
          </w:tcPr>
          <w:p>
            <w:pPr>
              <w:jc w:val="center"/>
              <w:rPr>
                <w:sz w:val="18"/>
              </w:rPr>
            </w:pPr>
          </w:p>
        </w:tc>
        <w:tc>
          <w:tcPr>
            <w:tcW w:w="851" w:type="dxa"/>
            <w:vMerge w:val="continue"/>
            <w:vAlign w:val="center"/>
          </w:tcPr>
          <w:p>
            <w:pPr>
              <w:spacing w:line="280" w:lineRule="exact"/>
              <w:rPr>
                <w:sz w:val="18"/>
                <w:szCs w:val="18"/>
              </w:rPr>
            </w:pPr>
          </w:p>
        </w:tc>
        <w:tc>
          <w:tcPr>
            <w:tcW w:w="982"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在线教学督导</w:t>
            </w:r>
          </w:p>
        </w:tc>
        <w:tc>
          <w:tcPr>
            <w:tcW w:w="3088" w:type="dxa"/>
            <w:vAlign w:val="center"/>
          </w:tcPr>
          <w:p>
            <w:pPr>
              <w:pStyle w:val="21"/>
              <w:jc w:val="both"/>
              <w:rPr>
                <w:rFonts w:ascii="Calibri" w:hAnsi="Calibri" w:cs="Times New Roman"/>
                <w:color w:val="auto"/>
                <w:kern w:val="2"/>
                <w:sz w:val="18"/>
                <w:szCs w:val="18"/>
              </w:rPr>
            </w:pPr>
            <w:r>
              <w:rPr>
                <w:rFonts w:hint="eastAsia" w:ascii="Calibri" w:hAnsi="Calibri" w:cs="Times New Roman"/>
                <w:color w:val="auto"/>
                <w:kern w:val="2"/>
                <w:sz w:val="18"/>
                <w:szCs w:val="18"/>
              </w:rPr>
              <w:t>在线教学督导反馈效果积极正面。</w:t>
            </w:r>
            <w:r>
              <w:rPr>
                <w:rFonts w:ascii="Calibri" w:hAnsi="Calibri" w:cs="Times New Roman"/>
                <w:color w:val="auto"/>
                <w:kern w:val="2"/>
                <w:sz w:val="18"/>
                <w:szCs w:val="18"/>
              </w:rPr>
              <w:t xml:space="preserve"> </w:t>
            </w:r>
          </w:p>
        </w:tc>
        <w:tc>
          <w:tcPr>
            <w:tcW w:w="661" w:type="dxa"/>
            <w:vAlign w:val="center"/>
          </w:tcPr>
          <w:p>
            <w:pPr>
              <w:jc w:val="center"/>
              <w:rPr>
                <w:sz w:val="18"/>
              </w:rPr>
            </w:pPr>
            <w:r>
              <w:rPr>
                <w:rFonts w:hint="eastAsia"/>
                <w:sz w:val="18"/>
              </w:rPr>
              <w:t>2</w:t>
            </w: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c>
          <w:tcPr>
            <w:tcW w:w="500" w:type="dxa"/>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630" w:type="dxa"/>
            <w:gridSpan w:val="4"/>
            <w:vAlign w:val="center"/>
          </w:tcPr>
          <w:p>
            <w:pPr>
              <w:spacing w:line="280" w:lineRule="exact"/>
              <w:jc w:val="center"/>
              <w:rPr>
                <w:sz w:val="18"/>
              </w:rPr>
            </w:pPr>
            <w:r>
              <w:rPr>
                <w:rFonts w:hint="eastAsia"/>
                <w:sz w:val="18"/>
              </w:rPr>
              <w:t>总  分 （</w:t>
            </w:r>
            <w:r>
              <w:rPr>
                <w:rFonts w:hint="eastAsia" w:ascii="宋体" w:hAnsi="宋体"/>
                <w:sz w:val="24"/>
              </w:rPr>
              <w:t>M</w:t>
            </w:r>
            <w:r>
              <w:rPr>
                <w:rFonts w:hint="eastAsia"/>
                <w:sz w:val="18"/>
              </w:rPr>
              <w:t>）</w:t>
            </w:r>
          </w:p>
        </w:tc>
        <w:tc>
          <w:tcPr>
            <w:tcW w:w="3161" w:type="dxa"/>
            <w:gridSpan w:val="6"/>
            <w:vAlign w:val="center"/>
          </w:tcPr>
          <w:p>
            <w:pPr>
              <w:jc w:val="center"/>
              <w:rPr>
                <w:sz w:val="18"/>
              </w:rPr>
            </w:pPr>
          </w:p>
        </w:tc>
      </w:tr>
    </w:tbl>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r>
        <w:rPr>
          <w:rFonts w:hint="eastAsia" w:ascii="宋体" w:hAnsi="宋体"/>
          <w:b/>
          <w:bCs/>
          <w:sz w:val="24"/>
        </w:rPr>
        <w:t>说明：</w:t>
      </w:r>
    </w:p>
    <w:p>
      <w:pPr>
        <w:spacing w:line="360" w:lineRule="auto"/>
        <w:ind w:firstLine="480" w:firstLineChars="200"/>
        <w:rPr>
          <w:rFonts w:ascii="宋体" w:hAnsi="宋体"/>
          <w:sz w:val="24"/>
        </w:rPr>
      </w:pPr>
      <w:r>
        <w:rPr>
          <w:rFonts w:hint="eastAsia" w:ascii="宋体" w:hAnsi="宋体"/>
          <w:sz w:val="24"/>
        </w:rPr>
        <w:t>总分计算：M=∑K</w:t>
      </w:r>
      <w:r>
        <w:rPr>
          <w:rFonts w:hint="eastAsia" w:ascii="宋体" w:hAnsi="宋体"/>
          <w:sz w:val="24"/>
          <w:vertAlign w:val="subscript"/>
        </w:rPr>
        <w:t>i</w:t>
      </w:r>
      <w:r>
        <w:rPr>
          <w:rFonts w:hint="eastAsia" w:ascii="宋体" w:hAnsi="宋体"/>
          <w:sz w:val="24"/>
        </w:rPr>
        <w:t>M</w:t>
      </w:r>
      <w:r>
        <w:rPr>
          <w:rFonts w:hint="eastAsia" w:ascii="宋体" w:hAnsi="宋体"/>
          <w:sz w:val="24"/>
          <w:vertAlign w:val="subscript"/>
        </w:rPr>
        <w:t>i</w:t>
      </w:r>
    </w:p>
    <w:p>
      <w:pPr>
        <w:spacing w:line="360" w:lineRule="auto"/>
        <w:ind w:firstLine="480" w:firstLineChars="200"/>
        <w:rPr>
          <w:rFonts w:ascii="宋体" w:hAnsi="宋体"/>
          <w:sz w:val="24"/>
        </w:rPr>
      </w:pPr>
      <w:r>
        <w:rPr>
          <w:rFonts w:hint="eastAsia" w:ascii="宋体" w:hAnsi="宋体"/>
          <w:sz w:val="24"/>
        </w:rPr>
        <w:t>其中,M</w:t>
      </w:r>
      <w:r>
        <w:rPr>
          <w:rFonts w:hint="eastAsia" w:ascii="宋体" w:hAnsi="宋体"/>
          <w:sz w:val="24"/>
          <w:vertAlign w:val="subscript"/>
        </w:rPr>
        <w:t>i</w:t>
      </w:r>
      <w:r>
        <w:rPr>
          <w:rFonts w:hint="eastAsia" w:ascii="宋体" w:hAnsi="宋体"/>
          <w:sz w:val="24"/>
        </w:rPr>
        <w:t>为各二级指标的分值，K</w:t>
      </w:r>
      <w:r>
        <w:rPr>
          <w:rFonts w:hint="eastAsia" w:ascii="宋体" w:hAnsi="宋体"/>
          <w:sz w:val="24"/>
          <w:vertAlign w:val="subscript"/>
        </w:rPr>
        <w:t>i</w:t>
      </w:r>
      <w:r>
        <w:rPr>
          <w:rFonts w:hint="eastAsia" w:ascii="宋体" w:hAnsi="宋体"/>
          <w:sz w:val="24"/>
        </w:rPr>
        <w:t>为评分等级系数，a、b、c、d、e的系数分别为1.0、0.8、0.6、0.4、0.2。M</w:t>
      </w:r>
      <w:r>
        <w:rPr>
          <w:rFonts w:ascii="宋体" w:hAnsi="宋体"/>
          <w:sz w:val="24"/>
        </w:rPr>
        <w:t>≧90，课程</w:t>
      </w:r>
      <w:r>
        <w:rPr>
          <w:rFonts w:hint="eastAsia" w:ascii="宋体" w:hAnsi="宋体"/>
          <w:sz w:val="24"/>
        </w:rPr>
        <w:t>鉴定</w:t>
      </w:r>
      <w:r>
        <w:rPr>
          <w:rFonts w:ascii="宋体" w:hAnsi="宋体"/>
          <w:sz w:val="24"/>
        </w:rPr>
        <w:t>等级为</w:t>
      </w:r>
      <w:r>
        <w:rPr>
          <w:rFonts w:hint="eastAsia" w:ascii="宋体" w:hAnsi="宋体"/>
          <w:sz w:val="24"/>
        </w:rPr>
        <w:t>优秀。</w:t>
      </w:r>
    </w:p>
    <w:p>
      <w:pPr>
        <w:spacing w:line="480" w:lineRule="exact"/>
        <w:ind w:firstLine="560" w:firstLineChars="200"/>
        <w:rPr>
          <w:rFonts w:ascii="仿宋_GB2312" w:eastAsia="仿宋_GB2312"/>
          <w:sz w:val="28"/>
          <w:szCs w:val="28"/>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snapToGrid w:val="0"/>
        <w:spacing w:line="480" w:lineRule="exact"/>
        <w:rPr>
          <w:kern w:val="0"/>
        </w:rPr>
      </w:pPr>
    </w:p>
    <w:p>
      <w:pPr>
        <w:ind w:right="-334" w:rightChars="-159" w:firstLine="280" w:firstLineChars="100"/>
        <w:rPr>
          <w:rFonts w:ascii="仿宋_GB2312" w:hAnsi="黑体" w:eastAsia="仿宋_GB2312"/>
          <w:sz w:val="28"/>
          <w:szCs w:val="28"/>
        </w:rPr>
      </w:pPr>
      <w:r>
        <w:rPr>
          <w:rFonts w:ascii="仿宋_GB2312" w:hAnsi="黑体" w:eastAsia="仿宋_GB2312"/>
          <w:sz w:val="28"/>
          <w:szCs w:val="28"/>
        </w:rPr>
        <w:pict>
          <v:line id="Line 167" o:spid="_x0000_s1108" o:spt="20" style="position:absolute;left:0pt;flip:y;margin-left:0pt;margin-top:1.2pt;height:0.25pt;width:453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">
            <v:path arrowok="t"/>
            <v:fill focussize="0,0"/>
            <v:stroke/>
            <v:imagedata o:title=""/>
            <o:lock v:ext="edit"/>
          </v:line>
        </w:pict>
      </w:r>
      <w:r>
        <w:rPr>
          <w:rFonts w:hint="eastAsia" w:ascii="仿宋_GB2312" w:hAnsi="黑体" w:eastAsia="仿宋_GB2312"/>
          <w:sz w:val="28"/>
          <w:szCs w:val="28"/>
        </w:rPr>
        <w:t>内蒙古工业大学党政办公室                  2017年7月17日制发</w:t>
      </w:r>
    </w:p>
    <w:p>
      <w:pPr>
        <w:ind w:right="-334" w:rightChars="-159" w:firstLine="6160" w:firstLineChars="2200"/>
        <w:rPr>
          <w:rFonts w:ascii="黑体" w:hAnsi="黑体" w:eastAsia="黑体"/>
        </w:rPr>
      </w:pPr>
      <w:r>
        <w:rPr>
          <w:rFonts w:ascii="仿宋_GB2312" w:hAnsi="黑体" w:eastAsia="仿宋_GB2312"/>
          <w:sz w:val="28"/>
          <w:szCs w:val="28"/>
        </w:rPr>
        <w:pict>
          <v:line id="Line 168" o:spid="_x0000_s1109" o:spt="20" style="position:absolute;left:0pt;margin-left:0pt;margin-top:0pt;height:0pt;width:453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g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">
            <v:path arrowok="t"/>
            <v:fill focussize="0,0"/>
            <v:stroke/>
            <v:imagedata o:title=""/>
            <o:lock v:ext="edit"/>
          </v:line>
        </w:pict>
      </w:r>
      <w:r>
        <w:rPr>
          <w:rFonts w:hint="eastAsia" w:ascii="仿宋_GB2312" w:hAnsi="黑体" w:eastAsia="仿宋_GB2312"/>
          <w:sz w:val="28"/>
          <w:szCs w:val="28"/>
        </w:rPr>
        <w:t xml:space="preserve"> 上传办公自动化系统</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53927"/>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1"/>
      <w:numFmt w:val="decimal"/>
      <w:pStyle w:val="15"/>
      <w:suff w:val="space"/>
      <w:lvlText w:val="%1."/>
      <w:lvlJc w:val="left"/>
    </w:lvl>
  </w:abstractNum>
  <w:abstractNum w:abstractNumId="1">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
      <w:lvlText w:val="%2)"/>
      <w:lvlJc w:val="left"/>
      <w:pPr>
        <w:tabs>
          <w:tab w:val="left" w:pos="1260"/>
        </w:tabs>
        <w:ind w:left="1259" w:hanging="419"/>
      </w:pPr>
      <w:rPr>
        <w:rFonts w:hint="eastAsia"/>
      </w:rPr>
    </w:lvl>
    <w:lvl w:ilvl="2" w:tentative="0">
      <w:start w:val="1"/>
      <w:numFmt w:val="decimal"/>
      <w:pStyle w:val="1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1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7AD05961"/>
    <w:multiLevelType w:val="multilevel"/>
    <w:tmpl w:val="7AD05961"/>
    <w:lvl w:ilvl="0" w:tentative="0">
      <w:start w:val="1"/>
      <w:numFmt w:val="decimal"/>
      <w:pStyle w:val="1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2606"/>
    <w:rsid w:val="00006DA5"/>
    <w:rsid w:val="000117AE"/>
    <w:rsid w:val="000129EB"/>
    <w:rsid w:val="00035B53"/>
    <w:rsid w:val="00042D97"/>
    <w:rsid w:val="0004475B"/>
    <w:rsid w:val="00057AA4"/>
    <w:rsid w:val="000601BD"/>
    <w:rsid w:val="000955FB"/>
    <w:rsid w:val="000A40C4"/>
    <w:rsid w:val="000B0969"/>
    <w:rsid w:val="000C4717"/>
    <w:rsid w:val="000C50E1"/>
    <w:rsid w:val="000E095F"/>
    <w:rsid w:val="000E0AB1"/>
    <w:rsid w:val="000F07E5"/>
    <w:rsid w:val="00100146"/>
    <w:rsid w:val="0010511C"/>
    <w:rsid w:val="001151CB"/>
    <w:rsid w:val="0012676C"/>
    <w:rsid w:val="001325AD"/>
    <w:rsid w:val="00144F8F"/>
    <w:rsid w:val="00150081"/>
    <w:rsid w:val="001828A9"/>
    <w:rsid w:val="00194D32"/>
    <w:rsid w:val="001A3B97"/>
    <w:rsid w:val="001B3FF4"/>
    <w:rsid w:val="001B71C9"/>
    <w:rsid w:val="001D21FF"/>
    <w:rsid w:val="001E16CD"/>
    <w:rsid w:val="001F0B23"/>
    <w:rsid w:val="001F68B5"/>
    <w:rsid w:val="00216900"/>
    <w:rsid w:val="0022346F"/>
    <w:rsid w:val="00227D58"/>
    <w:rsid w:val="002315A7"/>
    <w:rsid w:val="00235A4B"/>
    <w:rsid w:val="002414BF"/>
    <w:rsid w:val="00250474"/>
    <w:rsid w:val="00254847"/>
    <w:rsid w:val="00270FED"/>
    <w:rsid w:val="0028002E"/>
    <w:rsid w:val="002A22EF"/>
    <w:rsid w:val="002A571E"/>
    <w:rsid w:val="002B4EA0"/>
    <w:rsid w:val="002B71EE"/>
    <w:rsid w:val="00320A14"/>
    <w:rsid w:val="00323F8A"/>
    <w:rsid w:val="00331172"/>
    <w:rsid w:val="0033226C"/>
    <w:rsid w:val="00347890"/>
    <w:rsid w:val="00360350"/>
    <w:rsid w:val="003A3DD7"/>
    <w:rsid w:val="003A678C"/>
    <w:rsid w:val="003B1CC0"/>
    <w:rsid w:val="003B2A6F"/>
    <w:rsid w:val="003B2A7A"/>
    <w:rsid w:val="003B57BB"/>
    <w:rsid w:val="003C41D8"/>
    <w:rsid w:val="003C7949"/>
    <w:rsid w:val="003F6C2C"/>
    <w:rsid w:val="003F6F2B"/>
    <w:rsid w:val="00402E73"/>
    <w:rsid w:val="0041518B"/>
    <w:rsid w:val="00423EE3"/>
    <w:rsid w:val="00427822"/>
    <w:rsid w:val="0043708F"/>
    <w:rsid w:val="00443548"/>
    <w:rsid w:val="004529EF"/>
    <w:rsid w:val="00460E0E"/>
    <w:rsid w:val="00461A87"/>
    <w:rsid w:val="00476CBF"/>
    <w:rsid w:val="00486339"/>
    <w:rsid w:val="004A5C46"/>
    <w:rsid w:val="004B2606"/>
    <w:rsid w:val="004B2DD0"/>
    <w:rsid w:val="004D781C"/>
    <w:rsid w:val="004E170B"/>
    <w:rsid w:val="004E2EF2"/>
    <w:rsid w:val="004E5546"/>
    <w:rsid w:val="004F47A2"/>
    <w:rsid w:val="005006B6"/>
    <w:rsid w:val="00501192"/>
    <w:rsid w:val="00507DDB"/>
    <w:rsid w:val="00526791"/>
    <w:rsid w:val="005367C9"/>
    <w:rsid w:val="00566A0C"/>
    <w:rsid w:val="0057335C"/>
    <w:rsid w:val="005878ED"/>
    <w:rsid w:val="0059469B"/>
    <w:rsid w:val="0059477E"/>
    <w:rsid w:val="005A629B"/>
    <w:rsid w:val="005C2EF3"/>
    <w:rsid w:val="005C5403"/>
    <w:rsid w:val="005C5591"/>
    <w:rsid w:val="00607B7B"/>
    <w:rsid w:val="006121E5"/>
    <w:rsid w:val="00622762"/>
    <w:rsid w:val="00626F87"/>
    <w:rsid w:val="0064081A"/>
    <w:rsid w:val="00646A4F"/>
    <w:rsid w:val="00670111"/>
    <w:rsid w:val="00684530"/>
    <w:rsid w:val="00696552"/>
    <w:rsid w:val="006A3A79"/>
    <w:rsid w:val="006A5E21"/>
    <w:rsid w:val="006A66DC"/>
    <w:rsid w:val="006B3737"/>
    <w:rsid w:val="006B3F7A"/>
    <w:rsid w:val="006C518D"/>
    <w:rsid w:val="006C72B5"/>
    <w:rsid w:val="006D2581"/>
    <w:rsid w:val="006E5C89"/>
    <w:rsid w:val="006E72A3"/>
    <w:rsid w:val="00710CD3"/>
    <w:rsid w:val="007332F6"/>
    <w:rsid w:val="00751C12"/>
    <w:rsid w:val="00767381"/>
    <w:rsid w:val="007713C4"/>
    <w:rsid w:val="007819EF"/>
    <w:rsid w:val="00782902"/>
    <w:rsid w:val="00795FF7"/>
    <w:rsid w:val="007A6987"/>
    <w:rsid w:val="007B6645"/>
    <w:rsid w:val="007C6AC8"/>
    <w:rsid w:val="007D24AC"/>
    <w:rsid w:val="007F7EE4"/>
    <w:rsid w:val="00827931"/>
    <w:rsid w:val="00844278"/>
    <w:rsid w:val="008654BE"/>
    <w:rsid w:val="00884247"/>
    <w:rsid w:val="00890069"/>
    <w:rsid w:val="008F247C"/>
    <w:rsid w:val="009023FB"/>
    <w:rsid w:val="00941ED1"/>
    <w:rsid w:val="00942CA3"/>
    <w:rsid w:val="009832C4"/>
    <w:rsid w:val="009B0DFC"/>
    <w:rsid w:val="009B28E0"/>
    <w:rsid w:val="009C24D6"/>
    <w:rsid w:val="009C2702"/>
    <w:rsid w:val="00A11474"/>
    <w:rsid w:val="00A2224C"/>
    <w:rsid w:val="00A224E4"/>
    <w:rsid w:val="00A2731D"/>
    <w:rsid w:val="00A4139B"/>
    <w:rsid w:val="00A426D0"/>
    <w:rsid w:val="00A42A97"/>
    <w:rsid w:val="00A547FF"/>
    <w:rsid w:val="00A575B3"/>
    <w:rsid w:val="00A57B47"/>
    <w:rsid w:val="00A61EBB"/>
    <w:rsid w:val="00A64B71"/>
    <w:rsid w:val="00A677AC"/>
    <w:rsid w:val="00A7202B"/>
    <w:rsid w:val="00A818C2"/>
    <w:rsid w:val="00A8283C"/>
    <w:rsid w:val="00AA74A3"/>
    <w:rsid w:val="00AC3B78"/>
    <w:rsid w:val="00AC795F"/>
    <w:rsid w:val="00AD68F9"/>
    <w:rsid w:val="00AF1291"/>
    <w:rsid w:val="00AF15E7"/>
    <w:rsid w:val="00B00EA4"/>
    <w:rsid w:val="00B12995"/>
    <w:rsid w:val="00B1687C"/>
    <w:rsid w:val="00B256B2"/>
    <w:rsid w:val="00B30D40"/>
    <w:rsid w:val="00B37899"/>
    <w:rsid w:val="00B5372D"/>
    <w:rsid w:val="00B61081"/>
    <w:rsid w:val="00B626B1"/>
    <w:rsid w:val="00B6517A"/>
    <w:rsid w:val="00B66A59"/>
    <w:rsid w:val="00BA62EC"/>
    <w:rsid w:val="00BC57B1"/>
    <w:rsid w:val="00BE005E"/>
    <w:rsid w:val="00BE02BB"/>
    <w:rsid w:val="00BE6B17"/>
    <w:rsid w:val="00BE7DEB"/>
    <w:rsid w:val="00C56F20"/>
    <w:rsid w:val="00C70FFC"/>
    <w:rsid w:val="00C9619B"/>
    <w:rsid w:val="00CA0D03"/>
    <w:rsid w:val="00CA78C9"/>
    <w:rsid w:val="00CC14FD"/>
    <w:rsid w:val="00CF0B55"/>
    <w:rsid w:val="00D0414A"/>
    <w:rsid w:val="00D13D7D"/>
    <w:rsid w:val="00D4258D"/>
    <w:rsid w:val="00D4739E"/>
    <w:rsid w:val="00D92490"/>
    <w:rsid w:val="00D9547D"/>
    <w:rsid w:val="00DB6DA3"/>
    <w:rsid w:val="00DC12C8"/>
    <w:rsid w:val="00DD656C"/>
    <w:rsid w:val="00DE153B"/>
    <w:rsid w:val="00DE2D60"/>
    <w:rsid w:val="00E04DD3"/>
    <w:rsid w:val="00E05CBD"/>
    <w:rsid w:val="00E06715"/>
    <w:rsid w:val="00E15229"/>
    <w:rsid w:val="00E170F8"/>
    <w:rsid w:val="00E3757A"/>
    <w:rsid w:val="00E50C98"/>
    <w:rsid w:val="00E6495F"/>
    <w:rsid w:val="00E6775C"/>
    <w:rsid w:val="00E9636A"/>
    <w:rsid w:val="00E96F35"/>
    <w:rsid w:val="00EB6F0E"/>
    <w:rsid w:val="00ED26B4"/>
    <w:rsid w:val="00ED6177"/>
    <w:rsid w:val="00EE01B8"/>
    <w:rsid w:val="00EE2B41"/>
    <w:rsid w:val="00EE680C"/>
    <w:rsid w:val="00EF5AAB"/>
    <w:rsid w:val="00F02031"/>
    <w:rsid w:val="00F13C69"/>
    <w:rsid w:val="00F145B7"/>
    <w:rsid w:val="00F2114B"/>
    <w:rsid w:val="00F22E18"/>
    <w:rsid w:val="00F315E7"/>
    <w:rsid w:val="00F55B39"/>
    <w:rsid w:val="00F73044"/>
    <w:rsid w:val="00F80B72"/>
    <w:rsid w:val="00F8219D"/>
    <w:rsid w:val="00F83EC2"/>
    <w:rsid w:val="00F8660D"/>
    <w:rsid w:val="00F86C50"/>
    <w:rsid w:val="00FA4133"/>
    <w:rsid w:val="00FA54C3"/>
    <w:rsid w:val="00FA6AD6"/>
    <w:rsid w:val="00FB4AB2"/>
    <w:rsid w:val="00FF5AD6"/>
    <w:rsid w:val="75B84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0"/>
    <w:semiHidden/>
    <w:unhideWhenUsed/>
    <w:uiPriority w:val="99"/>
    <w:rPr>
      <w:sz w:val="18"/>
      <w:szCs w:val="18"/>
    </w:rPr>
  </w:style>
  <w:style w:type="paragraph" w:styleId="3">
    <w:name w:val="footer"/>
    <w:basedOn w:val="1"/>
    <w:link w:val="19"/>
    <w:unhideWhenUsed/>
    <w:uiPriority w:val="99"/>
    <w:pPr>
      <w:tabs>
        <w:tab w:val="center" w:pos="4153"/>
        <w:tab w:val="right" w:pos="8306"/>
      </w:tabs>
      <w:snapToGrid w:val="0"/>
      <w:jc w:val="left"/>
    </w:pPr>
    <w:rPr>
      <w:sz w:val="18"/>
      <w:szCs w:val="18"/>
    </w:rPr>
  </w:style>
  <w:style w:type="paragraph" w:styleId="4">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cs="宋体"/>
      <w:kern w:val="0"/>
      <w:sz w:val="24"/>
    </w:rPr>
  </w:style>
  <w:style w:type="table" w:styleId="8">
    <w:name w:val="Table Grid"/>
    <w:basedOn w:val="7"/>
    <w:unhideWhenUsed/>
    <w:uiPriority w:val="99"/>
    <w:pPr>
      <w:widowControl w:val="0"/>
      <w:spacing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一级条标题"/>
    <w:next w:val="10"/>
    <w:qFormat/>
    <w:uiPriority w:val="0"/>
    <w:pPr>
      <w:numPr>
        <w:ilvl w:val="1"/>
        <w:numId w:val="1"/>
      </w:numPr>
      <w:spacing w:beforeLines="50" w:afterLines="50" w:line="240" w:lineRule="auto"/>
      <w:outlineLvl w:val="2"/>
    </w:pPr>
    <w:rPr>
      <w:rFonts w:ascii="黑体" w:hAnsi="Times New Roman" w:eastAsia="黑体" w:cs="Times New Roman"/>
      <w:kern w:val="0"/>
      <w:sz w:val="21"/>
      <w:szCs w:val="21"/>
      <w:lang w:val="en-US" w:eastAsia="zh-CN" w:bidi="ar-SA"/>
    </w:rPr>
  </w:style>
  <w:style w:type="paragraph" w:customStyle="1" w:styleId="10">
    <w:name w:val="段"/>
    <w:qFormat/>
    <w:uiPriority w:val="0"/>
    <w:pPr>
      <w:tabs>
        <w:tab w:val="center" w:pos="4201"/>
        <w:tab w:val="right" w:leader="dot" w:pos="9298"/>
      </w:tabs>
      <w:autoSpaceDE w:val="0"/>
      <w:autoSpaceDN w:val="0"/>
      <w:spacing w:line="240" w:lineRule="auto"/>
      <w:ind w:firstLine="420" w:firstLineChars="200"/>
      <w:jc w:val="both"/>
    </w:pPr>
    <w:rPr>
      <w:rFonts w:ascii="宋体" w:hAnsi="Times New Roman" w:eastAsia="宋体" w:cs="Times New Roman"/>
      <w:kern w:val="0"/>
      <w:sz w:val="21"/>
      <w:szCs w:val="22"/>
      <w:lang w:val="en-US" w:eastAsia="zh-CN" w:bidi="ar-SA"/>
    </w:rPr>
  </w:style>
  <w:style w:type="paragraph" w:customStyle="1" w:styleId="11">
    <w:name w:val="正文表标题"/>
    <w:next w:val="10"/>
    <w:qFormat/>
    <w:uiPriority w:val="0"/>
    <w:pPr>
      <w:numPr>
        <w:ilvl w:val="0"/>
        <w:numId w:val="2"/>
      </w:numPr>
      <w:tabs>
        <w:tab w:val="left" w:pos="360"/>
      </w:tabs>
      <w:spacing w:beforeLines="50" w:afterLines="50" w:line="240" w:lineRule="auto"/>
      <w:jc w:val="center"/>
    </w:pPr>
    <w:rPr>
      <w:rFonts w:ascii="黑体" w:hAnsi="Times New Roman" w:eastAsia="黑体" w:cs="Times New Roman"/>
      <w:kern w:val="0"/>
      <w:sz w:val="21"/>
      <w:szCs w:val="22"/>
      <w:lang w:val="en-US" w:eastAsia="zh-CN" w:bidi="ar-SA"/>
    </w:rPr>
  </w:style>
  <w:style w:type="paragraph" w:customStyle="1" w:styleId="12">
    <w:name w:val="二级无"/>
    <w:basedOn w:val="1"/>
    <w:uiPriority w:val="0"/>
    <w:pPr>
      <w:widowControl/>
      <w:numPr>
        <w:ilvl w:val="2"/>
        <w:numId w:val="1"/>
      </w:numPr>
      <w:jc w:val="left"/>
      <w:outlineLvl w:val="3"/>
    </w:pPr>
    <w:rPr>
      <w:rFonts w:ascii="宋体"/>
      <w:kern w:val="0"/>
      <w:szCs w:val="21"/>
    </w:rPr>
  </w:style>
  <w:style w:type="paragraph" w:customStyle="1" w:styleId="13">
    <w:name w:val="数字编号列项（二级）"/>
    <w:qFormat/>
    <w:uiPriority w:val="0"/>
    <w:pPr>
      <w:numPr>
        <w:ilvl w:val="1"/>
        <w:numId w:val="3"/>
      </w:numPr>
      <w:tabs>
        <w:tab w:val="left" w:pos="1260"/>
      </w:tabs>
      <w:spacing w:line="240" w:lineRule="auto"/>
      <w:jc w:val="both"/>
    </w:pPr>
    <w:rPr>
      <w:rFonts w:ascii="宋体" w:hAnsi="Times New Roman" w:eastAsia="宋体" w:cs="Times New Roman"/>
      <w:kern w:val="0"/>
      <w:sz w:val="21"/>
      <w:szCs w:val="22"/>
      <w:lang w:val="en-US" w:eastAsia="zh-CN" w:bidi="ar-SA"/>
    </w:rPr>
  </w:style>
  <w:style w:type="paragraph" w:customStyle="1" w:styleId="14">
    <w:name w:val="附录表标号"/>
    <w:basedOn w:val="1"/>
    <w:next w:val="10"/>
    <w:qFormat/>
    <w:uiPriority w:val="0"/>
    <w:pPr>
      <w:numPr>
        <w:ilvl w:val="0"/>
        <w:numId w:val="4"/>
      </w:numPr>
      <w:spacing w:line="14" w:lineRule="exact"/>
      <w:ind w:left="811" w:hanging="448"/>
      <w:jc w:val="center"/>
      <w:outlineLvl w:val="0"/>
    </w:pPr>
    <w:rPr>
      <w:color w:val="FFFFFF"/>
    </w:rPr>
  </w:style>
  <w:style w:type="paragraph" w:customStyle="1" w:styleId="15">
    <w:name w:val="附录图标号"/>
    <w:basedOn w:val="1"/>
    <w:qFormat/>
    <w:uiPriority w:val="0"/>
    <w:pPr>
      <w:keepNext/>
      <w:pageBreakBefore/>
      <w:widowControl/>
      <w:numPr>
        <w:ilvl w:val="0"/>
        <w:numId w:val="5"/>
      </w:numPr>
      <w:spacing w:line="14" w:lineRule="exact"/>
      <w:ind w:firstLine="363"/>
      <w:jc w:val="center"/>
      <w:outlineLvl w:val="0"/>
    </w:pPr>
    <w:rPr>
      <w:color w:val="FFFFFF"/>
    </w:rPr>
  </w:style>
  <w:style w:type="character" w:customStyle="1" w:styleId="16">
    <w:name w:val="emtidy-13"/>
    <w:uiPriority w:val="0"/>
    <w:rPr>
      <w:rFonts w:cs="Times New Roman"/>
    </w:rPr>
  </w:style>
  <w:style w:type="paragraph" w:styleId="17">
    <w:name w:val="List Paragraph"/>
    <w:basedOn w:val="1"/>
    <w:qFormat/>
    <w:uiPriority w:val="34"/>
    <w:pPr>
      <w:ind w:firstLine="420" w:firstLineChars="200"/>
    </w:pPr>
  </w:style>
  <w:style w:type="character" w:customStyle="1" w:styleId="18">
    <w:name w:val="页眉 Char"/>
    <w:basedOn w:val="6"/>
    <w:link w:val="4"/>
    <w:semiHidden/>
    <w:uiPriority w:val="99"/>
    <w:rPr>
      <w:rFonts w:ascii="Times New Roman" w:hAnsi="Times New Roman" w:eastAsia="宋体" w:cs="Times New Roman"/>
      <w:sz w:val="18"/>
      <w:szCs w:val="18"/>
    </w:rPr>
  </w:style>
  <w:style w:type="character" w:customStyle="1" w:styleId="19">
    <w:name w:val="页脚 Char"/>
    <w:basedOn w:val="6"/>
    <w:link w:val="3"/>
    <w:uiPriority w:val="99"/>
    <w:rPr>
      <w:rFonts w:ascii="Times New Roman" w:hAnsi="Times New Roman" w:eastAsia="宋体" w:cs="Times New Roman"/>
      <w:sz w:val="18"/>
      <w:szCs w:val="18"/>
    </w:rPr>
  </w:style>
  <w:style w:type="character" w:customStyle="1" w:styleId="20">
    <w:name w:val="批注框文本 Char"/>
    <w:basedOn w:val="6"/>
    <w:link w:val="2"/>
    <w:semiHidden/>
    <w:qFormat/>
    <w:uiPriority w:val="99"/>
    <w:rPr>
      <w:rFonts w:ascii="Times New Roman" w:hAnsi="Times New Roman" w:eastAsia="宋体" w:cs="Times New Roman"/>
      <w:sz w:val="18"/>
      <w:szCs w:val="18"/>
    </w:rPr>
  </w:style>
  <w:style w:type="paragraph" w:customStyle="1" w:styleId="21">
    <w:name w:val="Default"/>
    <w:uiPriority w:val="0"/>
    <w:pPr>
      <w:widowControl w:val="0"/>
      <w:autoSpaceDE w:val="0"/>
      <w:autoSpaceDN w:val="0"/>
      <w:adjustRightInd w:val="0"/>
      <w:spacing w:line="240" w:lineRule="auto"/>
    </w:pPr>
    <w:rPr>
      <w:rFonts w:ascii="宋体" w:eastAsia="宋体" w:cs="宋体" w:hAnsiTheme="minorHAnsi"/>
      <w:color w:val="000000"/>
      <w:kern w:val="0"/>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08"/>
    <customShpInfo spid="_x0000_s110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15</Pages>
  <Words>1238</Words>
  <Characters>7059</Characters>
  <Lines>58</Lines>
  <Paragraphs>16</Paragraphs>
  <TotalTime>10</TotalTime>
  <ScaleCrop>false</ScaleCrop>
  <LinksUpToDate>false</LinksUpToDate>
  <CharactersWithSpaces>8281</CharactersWithSpaces>
  <Application>WPS Office_10.1.0.7698_F1E327BC-269C-435d-A152-05C5408002CA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2017-07-17T02:32:00Z</dcterms:created>
  <dc:creator>Lenovo User</dc:creator>
  <lastModifiedBy>教务处</lastModifiedBy>
  <lastPrinted>2017-07-17T02:32:00Z</lastPrinted>
  <dcterms:modified xsi:type="dcterms:W3CDTF">2018-12-25T08:08:05Z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