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2021年课程思政教学比赛课堂教学设计表</w:t>
      </w:r>
      <w:bookmarkEnd w:id="0"/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264"/>
        <w:gridCol w:w="96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课程名称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学时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教学内容</w:t>
            </w:r>
          </w:p>
        </w:tc>
        <w:tc>
          <w:tcPr>
            <w:tcW w:w="7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教学目标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说明：需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涵盖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“课程思政”的教学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，即课程的育人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“课程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思政”教育内容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教学方法与举措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(说明：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需涵盖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达到“课程思政”教学目标和完成其教育内容要求所采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取的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教学方法与具体举措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教学实施过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程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说明：需有详细的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步骤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说明如何在每个环节落实其教学设计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eastAsia="zh-CN"/>
              </w:rPr>
              <w:t>教学反思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使用到的教学资源</w:t>
            </w:r>
          </w:p>
        </w:tc>
        <w:tc>
          <w:tcPr>
            <w:tcW w:w="73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70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D07EB"/>
    <w:rsid w:val="01C65C0A"/>
    <w:rsid w:val="32AD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2021-09-14T08:12:00Z</dcterms:created>
  <dc:creator>教务处</dc:creator>
  <cp:lastModifiedBy>教务处</cp:lastModifiedBy>
  <dcterms:modified xsi:type="dcterms:W3CDTF">2021-09-14T08:12:28Z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380A992F27F84EB393B6F6039F6FE51F</vt:lpwstr>
  </property>
</Properties>
</file>